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B6794"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b/>
          <w:bCs/>
          <w:kern w:val="0"/>
          <w:sz w:val="24"/>
          <w:szCs w:val="24"/>
          <w:lang w:eastAsia="cs-CZ"/>
        </w:rPr>
      </w:pPr>
    </w:p>
    <w:tbl>
      <w:tblPr>
        <w:tblW w:w="9483" w:type="dxa"/>
        <w:tblCellMar>
          <w:left w:w="70" w:type="dxa"/>
          <w:right w:w="70" w:type="dxa"/>
        </w:tblCellMar>
        <w:tblLook w:val="04A0" w:firstRow="1" w:lastRow="0" w:firstColumn="1" w:lastColumn="0" w:noHBand="0" w:noVBand="1"/>
      </w:tblPr>
      <w:tblGrid>
        <w:gridCol w:w="960"/>
        <w:gridCol w:w="960"/>
        <w:gridCol w:w="1380"/>
        <w:gridCol w:w="1740"/>
        <w:gridCol w:w="580"/>
        <w:gridCol w:w="2459"/>
        <w:gridCol w:w="247"/>
        <w:gridCol w:w="247"/>
        <w:gridCol w:w="910"/>
      </w:tblGrid>
      <w:tr w:rsidR="00534576" w:rsidRPr="00236D2B" w14:paraId="220AF1AD" w14:textId="77777777" w:rsidTr="00534576">
        <w:trPr>
          <w:trHeight w:val="330"/>
        </w:trPr>
        <w:tc>
          <w:tcPr>
            <w:tcW w:w="1920" w:type="dxa"/>
            <w:gridSpan w:val="2"/>
            <w:vMerge w:val="restart"/>
            <w:tcBorders>
              <w:top w:val="single" w:sz="12" w:space="0" w:color="auto"/>
              <w:left w:val="single" w:sz="12" w:space="0" w:color="auto"/>
              <w:bottom w:val="single" w:sz="4" w:space="0" w:color="auto"/>
              <w:right w:val="single" w:sz="4" w:space="0" w:color="auto"/>
            </w:tcBorders>
            <w:shd w:val="clear" w:color="auto" w:fill="auto"/>
            <w:noWrap/>
            <w:vAlign w:val="bottom"/>
            <w:hideMark/>
          </w:tcPr>
          <w:p w14:paraId="2F8160D9" w14:textId="77777777" w:rsidR="00534576" w:rsidRPr="00236D2B" w:rsidRDefault="00534576" w:rsidP="0048001C">
            <w:pPr>
              <w:spacing w:after="0" w:line="240" w:lineRule="auto"/>
              <w:jc w:val="center"/>
              <w:rPr>
                <w:rFonts w:ascii="Aptos Narrow" w:eastAsia="Times New Roman" w:hAnsi="Aptos Narrow" w:cs="Times New Roman"/>
                <w:color w:val="000000"/>
                <w:kern w:val="0"/>
                <w:lang w:eastAsia="cs-CZ"/>
              </w:rPr>
            </w:pPr>
            <w:r>
              <w:rPr>
                <w:noProof/>
                <w:lang w:eastAsia="cs-CZ"/>
              </w:rPr>
              <w:drawing>
                <wp:anchor distT="0" distB="0" distL="114300" distR="114300" simplePos="0" relativeHeight="251659264" behindDoc="0" locked="0" layoutInCell="1" allowOverlap="1" wp14:anchorId="48B22159" wp14:editId="74B63868">
                  <wp:simplePos x="0" y="0"/>
                  <wp:positionH relativeFrom="column">
                    <wp:posOffset>208280</wp:posOffset>
                  </wp:positionH>
                  <wp:positionV relativeFrom="paragraph">
                    <wp:posOffset>-137160</wp:posOffset>
                  </wp:positionV>
                  <wp:extent cx="828675" cy="899795"/>
                  <wp:effectExtent l="0" t="0" r="0" b="0"/>
                  <wp:wrapNone/>
                  <wp:docPr id="4" name="Obrázek 3" descr="Obsah obrázku text, Písmo, logo, Grafika&#10;&#10;Popis byl vytvořen automaticky">
                    <a:extLst xmlns:a="http://schemas.openxmlformats.org/drawingml/2006/main">
                      <a:ext uri="{FF2B5EF4-FFF2-40B4-BE49-F238E27FC236}">
                        <a16:creationId xmlns:a16="http://schemas.microsoft.com/office/drawing/2014/main" id="{0D54F0EC-A291-B3BB-2C27-87B0E93699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Písmo, logo, Grafika&#10;&#10;Popis byl vytvořen automaticky">
                            <a:extLst>
                              <a:ext uri="{FF2B5EF4-FFF2-40B4-BE49-F238E27FC236}">
                                <a16:creationId xmlns:a16="http://schemas.microsoft.com/office/drawing/2014/main" id="{0D54F0EC-A291-B3BB-2C27-87B0E936999F}"/>
                              </a:ext>
                            </a:extLst>
                          </pic:cNvPr>
                          <pic:cNvPicPr>
                            <a:picLocks noChangeAspect="1"/>
                          </pic:cNvPicPr>
                        </pic:nvPicPr>
                        <pic:blipFill rotWithShape="1">
                          <a:blip r:embed="rId5" cstate="print">
                            <a:extLst>
                              <a:ext uri="{28A0092B-C50C-407E-A947-70E740481C1C}">
                                <a14:useLocalDpi xmlns:a14="http://schemas.microsoft.com/office/drawing/2010/main" val="0"/>
                              </a:ext>
                            </a:extLst>
                          </a:blip>
                          <a:srcRect t="2" b="31530"/>
                          <a:stretch/>
                        </pic:blipFill>
                        <pic:spPr>
                          <a:xfrm>
                            <a:off x="0" y="0"/>
                            <a:ext cx="828675" cy="899795"/>
                          </a:xfrm>
                          <a:prstGeom prst="rect">
                            <a:avLst/>
                          </a:prstGeom>
                        </pic:spPr>
                      </pic:pic>
                    </a:graphicData>
                  </a:graphic>
                </wp:anchor>
              </w:drawing>
            </w:r>
            <w:r w:rsidRPr="00236D2B">
              <w:rPr>
                <w:rFonts w:ascii="Aptos Narrow" w:eastAsia="Times New Roman" w:hAnsi="Aptos Narrow" w:cs="Times New Roman"/>
                <w:color w:val="000000"/>
                <w:kern w:val="0"/>
                <w:lang w:eastAsia="cs-CZ"/>
              </w:rPr>
              <w:t> </w:t>
            </w:r>
          </w:p>
        </w:tc>
        <w:tc>
          <w:tcPr>
            <w:tcW w:w="1380" w:type="dxa"/>
            <w:tcBorders>
              <w:top w:val="single" w:sz="12" w:space="0" w:color="auto"/>
              <w:left w:val="nil"/>
              <w:bottom w:val="single" w:sz="4" w:space="0" w:color="auto"/>
              <w:right w:val="nil"/>
            </w:tcBorders>
            <w:shd w:val="clear" w:color="auto" w:fill="auto"/>
            <w:noWrap/>
            <w:vAlign w:val="bottom"/>
            <w:hideMark/>
          </w:tcPr>
          <w:p w14:paraId="116D34A2"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Číslo</w:t>
            </w:r>
          </w:p>
        </w:tc>
        <w:tc>
          <w:tcPr>
            <w:tcW w:w="1740" w:type="dxa"/>
            <w:tcBorders>
              <w:top w:val="single" w:sz="12" w:space="0" w:color="auto"/>
              <w:left w:val="single" w:sz="8" w:space="0" w:color="auto"/>
              <w:bottom w:val="single" w:sz="8" w:space="0" w:color="auto"/>
              <w:right w:val="single" w:sz="8" w:space="0" w:color="000000"/>
            </w:tcBorders>
            <w:shd w:val="clear" w:color="auto" w:fill="auto"/>
            <w:noWrap/>
            <w:vAlign w:val="bottom"/>
            <w:hideMark/>
          </w:tcPr>
          <w:p w14:paraId="2588EF7D" w14:textId="77777777" w:rsidR="00534576" w:rsidRPr="00236D2B" w:rsidRDefault="00057730" w:rsidP="0048001C">
            <w:pPr>
              <w:spacing w:after="0" w:line="240" w:lineRule="auto"/>
              <w:jc w:val="center"/>
              <w:rPr>
                <w:rFonts w:ascii="Aptos Narrow" w:eastAsia="Times New Roman" w:hAnsi="Aptos Narrow" w:cs="Times New Roman"/>
                <w:color w:val="000000"/>
                <w:kern w:val="0"/>
                <w:lang w:eastAsia="cs-CZ"/>
              </w:rPr>
            </w:pPr>
            <w:r>
              <w:rPr>
                <w:rFonts w:ascii="Aptos Narrow" w:eastAsia="Times New Roman" w:hAnsi="Aptos Narrow" w:cs="Times New Roman"/>
                <w:color w:val="000000"/>
                <w:kern w:val="0"/>
                <w:lang w:eastAsia="cs-CZ"/>
              </w:rPr>
              <w:t>1</w:t>
            </w:r>
            <w:r w:rsidR="00534576" w:rsidRPr="00236D2B">
              <w:rPr>
                <w:rFonts w:ascii="Aptos Narrow" w:eastAsia="Times New Roman" w:hAnsi="Aptos Narrow" w:cs="Times New Roman"/>
                <w:color w:val="000000"/>
                <w:kern w:val="0"/>
                <w:lang w:eastAsia="cs-CZ"/>
              </w:rPr>
              <w:t> </w:t>
            </w:r>
          </w:p>
        </w:tc>
        <w:tc>
          <w:tcPr>
            <w:tcW w:w="580" w:type="dxa"/>
            <w:tcBorders>
              <w:top w:val="single" w:sz="12" w:space="0" w:color="auto"/>
              <w:left w:val="nil"/>
              <w:bottom w:val="single" w:sz="4" w:space="0" w:color="auto"/>
              <w:right w:val="nil"/>
            </w:tcBorders>
            <w:shd w:val="clear" w:color="auto" w:fill="auto"/>
            <w:noWrap/>
            <w:vAlign w:val="bottom"/>
            <w:hideMark/>
          </w:tcPr>
          <w:p w14:paraId="11585093"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Rok</w:t>
            </w:r>
          </w:p>
        </w:tc>
        <w:tc>
          <w:tcPr>
            <w:tcW w:w="3863" w:type="dxa"/>
            <w:gridSpan w:val="4"/>
            <w:tcBorders>
              <w:top w:val="single" w:sz="12" w:space="0" w:color="auto"/>
              <w:left w:val="single" w:sz="8" w:space="0" w:color="auto"/>
              <w:bottom w:val="single" w:sz="8" w:space="0" w:color="auto"/>
              <w:right w:val="single" w:sz="12" w:space="0" w:color="000000"/>
            </w:tcBorders>
            <w:shd w:val="clear" w:color="auto" w:fill="auto"/>
            <w:noWrap/>
            <w:vAlign w:val="bottom"/>
            <w:hideMark/>
          </w:tcPr>
          <w:p w14:paraId="0417D9CB" w14:textId="77777777" w:rsidR="00534576" w:rsidRPr="00236D2B" w:rsidRDefault="00057730" w:rsidP="0048001C">
            <w:pPr>
              <w:spacing w:after="0" w:line="240" w:lineRule="auto"/>
              <w:jc w:val="center"/>
              <w:rPr>
                <w:rFonts w:ascii="Aptos Narrow" w:eastAsia="Times New Roman" w:hAnsi="Aptos Narrow" w:cs="Times New Roman"/>
                <w:color w:val="000000"/>
                <w:kern w:val="0"/>
                <w:lang w:eastAsia="cs-CZ"/>
              </w:rPr>
            </w:pPr>
            <w:r>
              <w:rPr>
                <w:rFonts w:ascii="Aptos Narrow" w:eastAsia="Times New Roman" w:hAnsi="Aptos Narrow" w:cs="Times New Roman"/>
                <w:color w:val="000000"/>
                <w:kern w:val="0"/>
                <w:lang w:eastAsia="cs-CZ"/>
              </w:rPr>
              <w:t>2025</w:t>
            </w:r>
          </w:p>
        </w:tc>
      </w:tr>
      <w:tr w:rsidR="00534576" w:rsidRPr="00236D2B" w14:paraId="6DCC05AF" w14:textId="77777777" w:rsidTr="00534576">
        <w:trPr>
          <w:trHeight w:val="300"/>
        </w:trPr>
        <w:tc>
          <w:tcPr>
            <w:tcW w:w="1920" w:type="dxa"/>
            <w:gridSpan w:val="2"/>
            <w:vMerge/>
            <w:tcBorders>
              <w:top w:val="single" w:sz="12" w:space="0" w:color="auto"/>
              <w:left w:val="single" w:sz="12" w:space="0" w:color="auto"/>
              <w:bottom w:val="single" w:sz="4" w:space="0" w:color="auto"/>
              <w:right w:val="single" w:sz="4" w:space="0" w:color="auto"/>
            </w:tcBorders>
            <w:vAlign w:val="center"/>
            <w:hideMark/>
          </w:tcPr>
          <w:p w14:paraId="18E644C7"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p>
        </w:tc>
        <w:tc>
          <w:tcPr>
            <w:tcW w:w="1380" w:type="dxa"/>
            <w:tcBorders>
              <w:top w:val="nil"/>
              <w:left w:val="nil"/>
              <w:bottom w:val="single" w:sz="4" w:space="0" w:color="auto"/>
              <w:right w:val="single" w:sz="4" w:space="0" w:color="auto"/>
            </w:tcBorders>
            <w:shd w:val="clear" w:color="auto" w:fill="auto"/>
            <w:noWrap/>
            <w:vAlign w:val="bottom"/>
            <w:hideMark/>
          </w:tcPr>
          <w:p w14:paraId="54E95258"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Název</w:t>
            </w:r>
          </w:p>
        </w:tc>
        <w:tc>
          <w:tcPr>
            <w:tcW w:w="6183" w:type="dxa"/>
            <w:gridSpan w:val="6"/>
            <w:tcBorders>
              <w:top w:val="nil"/>
              <w:left w:val="nil"/>
              <w:bottom w:val="single" w:sz="4" w:space="0" w:color="auto"/>
              <w:right w:val="single" w:sz="12" w:space="0" w:color="000000"/>
            </w:tcBorders>
            <w:shd w:val="clear" w:color="auto" w:fill="auto"/>
            <w:noWrap/>
            <w:vAlign w:val="bottom"/>
            <w:hideMark/>
          </w:tcPr>
          <w:p w14:paraId="1608E1D2" w14:textId="77777777" w:rsidR="00534576" w:rsidRPr="00236D2B" w:rsidRDefault="00057730" w:rsidP="0048001C">
            <w:pPr>
              <w:spacing w:after="0" w:line="240" w:lineRule="auto"/>
              <w:jc w:val="center"/>
              <w:rPr>
                <w:rFonts w:ascii="Aptos Narrow" w:eastAsia="Times New Roman" w:hAnsi="Aptos Narrow" w:cs="Times New Roman"/>
                <w:color w:val="000000"/>
                <w:kern w:val="0"/>
                <w:lang w:eastAsia="cs-CZ"/>
              </w:rPr>
            </w:pPr>
            <w:r>
              <w:rPr>
                <w:rFonts w:ascii="Aptos Narrow" w:eastAsia="Times New Roman" w:hAnsi="Aptos Narrow" w:cs="Times New Roman"/>
                <w:color w:val="000000"/>
                <w:kern w:val="0"/>
                <w:lang w:eastAsia="cs-CZ"/>
              </w:rPr>
              <w:t>Směrnice pro podpůrný fond</w:t>
            </w:r>
            <w:r w:rsidR="00534576" w:rsidRPr="00236D2B">
              <w:rPr>
                <w:rFonts w:ascii="Aptos Narrow" w:eastAsia="Times New Roman" w:hAnsi="Aptos Narrow" w:cs="Times New Roman"/>
                <w:color w:val="000000"/>
                <w:kern w:val="0"/>
                <w:lang w:eastAsia="cs-CZ"/>
              </w:rPr>
              <w:t> </w:t>
            </w:r>
          </w:p>
        </w:tc>
      </w:tr>
      <w:tr w:rsidR="00534576" w:rsidRPr="00236D2B" w14:paraId="2778EF26" w14:textId="77777777" w:rsidTr="00534576">
        <w:trPr>
          <w:trHeight w:val="300"/>
        </w:trPr>
        <w:tc>
          <w:tcPr>
            <w:tcW w:w="1920" w:type="dxa"/>
            <w:gridSpan w:val="2"/>
            <w:vMerge/>
            <w:tcBorders>
              <w:top w:val="single" w:sz="12" w:space="0" w:color="auto"/>
              <w:left w:val="single" w:sz="12" w:space="0" w:color="auto"/>
              <w:bottom w:val="single" w:sz="4" w:space="0" w:color="auto"/>
              <w:right w:val="single" w:sz="4" w:space="0" w:color="auto"/>
            </w:tcBorders>
            <w:vAlign w:val="center"/>
            <w:hideMark/>
          </w:tcPr>
          <w:p w14:paraId="470306F4"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p>
        </w:tc>
        <w:tc>
          <w:tcPr>
            <w:tcW w:w="1380" w:type="dxa"/>
            <w:tcBorders>
              <w:top w:val="nil"/>
              <w:left w:val="nil"/>
              <w:bottom w:val="single" w:sz="4" w:space="0" w:color="auto"/>
              <w:right w:val="single" w:sz="4" w:space="0" w:color="auto"/>
            </w:tcBorders>
            <w:shd w:val="clear" w:color="auto" w:fill="auto"/>
            <w:noWrap/>
            <w:vAlign w:val="bottom"/>
            <w:hideMark/>
          </w:tcPr>
          <w:p w14:paraId="5A2EAC8F"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Organizace</w:t>
            </w:r>
          </w:p>
        </w:tc>
        <w:tc>
          <w:tcPr>
            <w:tcW w:w="6183" w:type="dxa"/>
            <w:gridSpan w:val="6"/>
            <w:tcBorders>
              <w:top w:val="single" w:sz="4" w:space="0" w:color="auto"/>
              <w:left w:val="nil"/>
              <w:bottom w:val="single" w:sz="4" w:space="0" w:color="auto"/>
              <w:right w:val="single" w:sz="12" w:space="0" w:color="000000"/>
            </w:tcBorders>
            <w:shd w:val="clear" w:color="auto" w:fill="auto"/>
            <w:noWrap/>
            <w:vAlign w:val="bottom"/>
            <w:hideMark/>
          </w:tcPr>
          <w:p w14:paraId="4B9ED5B2" w14:textId="77777777" w:rsidR="00534576" w:rsidRPr="00236D2B" w:rsidRDefault="00534576" w:rsidP="0048001C">
            <w:pPr>
              <w:spacing w:after="0" w:line="240" w:lineRule="auto"/>
              <w:jc w:val="center"/>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r w:rsidR="00057730">
              <w:rPr>
                <w:rFonts w:ascii="Aptos Narrow" w:eastAsia="Times New Roman" w:hAnsi="Aptos Narrow" w:cs="Times New Roman"/>
                <w:color w:val="000000"/>
                <w:kern w:val="0"/>
                <w:lang w:eastAsia="cs-CZ"/>
              </w:rPr>
              <w:t xml:space="preserve">Šachový svaz České republiky z. s. </w:t>
            </w:r>
          </w:p>
        </w:tc>
      </w:tr>
      <w:tr w:rsidR="00534576" w:rsidRPr="00236D2B" w14:paraId="6BE405A6" w14:textId="77777777" w:rsidTr="00534576">
        <w:trPr>
          <w:trHeight w:val="300"/>
        </w:trPr>
        <w:tc>
          <w:tcPr>
            <w:tcW w:w="1920" w:type="dxa"/>
            <w:gridSpan w:val="2"/>
            <w:vMerge/>
            <w:tcBorders>
              <w:top w:val="single" w:sz="12" w:space="0" w:color="auto"/>
              <w:left w:val="single" w:sz="12" w:space="0" w:color="auto"/>
              <w:bottom w:val="single" w:sz="4" w:space="0" w:color="auto"/>
              <w:right w:val="single" w:sz="4" w:space="0" w:color="auto"/>
            </w:tcBorders>
            <w:vAlign w:val="center"/>
            <w:hideMark/>
          </w:tcPr>
          <w:p w14:paraId="657B4458"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p>
        </w:tc>
        <w:tc>
          <w:tcPr>
            <w:tcW w:w="1380" w:type="dxa"/>
            <w:tcBorders>
              <w:top w:val="nil"/>
              <w:left w:val="nil"/>
              <w:bottom w:val="single" w:sz="4" w:space="0" w:color="auto"/>
              <w:right w:val="single" w:sz="4" w:space="0" w:color="auto"/>
            </w:tcBorders>
            <w:shd w:val="clear" w:color="auto" w:fill="auto"/>
            <w:noWrap/>
            <w:vAlign w:val="bottom"/>
            <w:hideMark/>
          </w:tcPr>
          <w:p w14:paraId="44F9BF02"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Adresa</w:t>
            </w:r>
          </w:p>
        </w:tc>
        <w:tc>
          <w:tcPr>
            <w:tcW w:w="6183" w:type="dxa"/>
            <w:gridSpan w:val="6"/>
            <w:tcBorders>
              <w:top w:val="single" w:sz="4" w:space="0" w:color="auto"/>
              <w:left w:val="nil"/>
              <w:bottom w:val="single" w:sz="4" w:space="0" w:color="auto"/>
              <w:right w:val="single" w:sz="12" w:space="0" w:color="000000"/>
            </w:tcBorders>
            <w:shd w:val="clear" w:color="auto" w:fill="auto"/>
            <w:noWrap/>
            <w:vAlign w:val="bottom"/>
            <w:hideMark/>
          </w:tcPr>
          <w:p w14:paraId="3C217DCD" w14:textId="77777777" w:rsidR="00534576" w:rsidRPr="00236D2B" w:rsidRDefault="00534576" w:rsidP="0048001C">
            <w:pPr>
              <w:spacing w:after="0" w:line="240" w:lineRule="auto"/>
              <w:jc w:val="center"/>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r w:rsidR="00057730">
              <w:rPr>
                <w:rFonts w:ascii="Aptos Narrow" w:eastAsia="Times New Roman" w:hAnsi="Aptos Narrow" w:cs="Times New Roman"/>
                <w:color w:val="000000"/>
                <w:kern w:val="0"/>
                <w:lang w:eastAsia="cs-CZ"/>
              </w:rPr>
              <w:t xml:space="preserve">Zátopkova 100/2, Praha </w:t>
            </w:r>
          </w:p>
        </w:tc>
      </w:tr>
      <w:tr w:rsidR="00534576" w:rsidRPr="00236D2B" w14:paraId="555B31D6" w14:textId="77777777" w:rsidTr="00534576">
        <w:trPr>
          <w:trHeight w:val="300"/>
        </w:trPr>
        <w:tc>
          <w:tcPr>
            <w:tcW w:w="1920" w:type="dxa"/>
            <w:gridSpan w:val="2"/>
            <w:vMerge/>
            <w:tcBorders>
              <w:top w:val="single" w:sz="12" w:space="0" w:color="auto"/>
              <w:left w:val="single" w:sz="12" w:space="0" w:color="auto"/>
              <w:bottom w:val="single" w:sz="4" w:space="0" w:color="auto"/>
              <w:right w:val="single" w:sz="4" w:space="0" w:color="auto"/>
            </w:tcBorders>
            <w:vAlign w:val="center"/>
            <w:hideMark/>
          </w:tcPr>
          <w:p w14:paraId="25B9ABE4"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p>
        </w:tc>
        <w:tc>
          <w:tcPr>
            <w:tcW w:w="1380" w:type="dxa"/>
            <w:tcBorders>
              <w:top w:val="nil"/>
              <w:left w:val="nil"/>
              <w:bottom w:val="single" w:sz="4" w:space="0" w:color="auto"/>
              <w:right w:val="single" w:sz="4" w:space="0" w:color="auto"/>
            </w:tcBorders>
            <w:shd w:val="clear" w:color="auto" w:fill="auto"/>
            <w:noWrap/>
            <w:vAlign w:val="bottom"/>
            <w:hideMark/>
          </w:tcPr>
          <w:p w14:paraId="5F040399"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IČO</w:t>
            </w:r>
          </w:p>
        </w:tc>
        <w:tc>
          <w:tcPr>
            <w:tcW w:w="232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80AE025" w14:textId="77777777" w:rsidR="00534576" w:rsidRPr="00236D2B" w:rsidRDefault="00057730" w:rsidP="0048001C">
            <w:pPr>
              <w:spacing w:after="0" w:line="240" w:lineRule="auto"/>
              <w:jc w:val="center"/>
              <w:rPr>
                <w:rFonts w:ascii="Aptos Narrow" w:eastAsia="Times New Roman" w:hAnsi="Aptos Narrow" w:cs="Times New Roman"/>
                <w:color w:val="000000"/>
                <w:kern w:val="0"/>
                <w:lang w:eastAsia="cs-CZ"/>
              </w:rPr>
            </w:pPr>
            <w:r>
              <w:rPr>
                <w:rFonts w:ascii="Aptos Narrow" w:eastAsia="Times New Roman" w:hAnsi="Aptos Narrow" w:cs="Times New Roman"/>
                <w:color w:val="000000"/>
                <w:kern w:val="0"/>
                <w:lang w:eastAsia="cs-CZ"/>
              </w:rPr>
              <w:t>48548464</w:t>
            </w:r>
          </w:p>
        </w:tc>
        <w:tc>
          <w:tcPr>
            <w:tcW w:w="2459" w:type="dxa"/>
            <w:tcBorders>
              <w:top w:val="nil"/>
              <w:left w:val="nil"/>
              <w:bottom w:val="single" w:sz="4" w:space="0" w:color="auto"/>
              <w:right w:val="single" w:sz="4" w:space="0" w:color="auto"/>
            </w:tcBorders>
            <w:shd w:val="clear" w:color="auto" w:fill="auto"/>
            <w:noWrap/>
            <w:vAlign w:val="bottom"/>
            <w:hideMark/>
          </w:tcPr>
          <w:p w14:paraId="1445C3EF"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247" w:type="dxa"/>
            <w:tcBorders>
              <w:top w:val="nil"/>
              <w:left w:val="nil"/>
              <w:bottom w:val="single" w:sz="4" w:space="0" w:color="auto"/>
              <w:right w:val="single" w:sz="4" w:space="0" w:color="auto"/>
            </w:tcBorders>
            <w:shd w:val="clear" w:color="auto" w:fill="auto"/>
            <w:noWrap/>
            <w:vAlign w:val="bottom"/>
            <w:hideMark/>
          </w:tcPr>
          <w:p w14:paraId="537A6F28"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247" w:type="dxa"/>
            <w:tcBorders>
              <w:top w:val="nil"/>
              <w:left w:val="nil"/>
              <w:bottom w:val="single" w:sz="4" w:space="0" w:color="auto"/>
              <w:right w:val="single" w:sz="4" w:space="0" w:color="auto"/>
            </w:tcBorders>
            <w:shd w:val="clear" w:color="auto" w:fill="auto"/>
            <w:noWrap/>
            <w:vAlign w:val="bottom"/>
            <w:hideMark/>
          </w:tcPr>
          <w:p w14:paraId="1B072860"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910" w:type="dxa"/>
            <w:tcBorders>
              <w:top w:val="nil"/>
              <w:left w:val="nil"/>
              <w:bottom w:val="single" w:sz="4" w:space="0" w:color="auto"/>
              <w:right w:val="single" w:sz="12" w:space="0" w:color="auto"/>
            </w:tcBorders>
            <w:shd w:val="clear" w:color="auto" w:fill="auto"/>
            <w:noWrap/>
            <w:vAlign w:val="bottom"/>
            <w:hideMark/>
          </w:tcPr>
          <w:p w14:paraId="7CA4B25A"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r>
      <w:tr w:rsidR="00534576" w:rsidRPr="00236D2B" w14:paraId="0E70B734" w14:textId="77777777" w:rsidTr="00534576">
        <w:trPr>
          <w:trHeight w:val="300"/>
        </w:trPr>
        <w:tc>
          <w:tcPr>
            <w:tcW w:w="960" w:type="dxa"/>
            <w:tcBorders>
              <w:top w:val="nil"/>
              <w:left w:val="single" w:sz="12" w:space="0" w:color="auto"/>
              <w:bottom w:val="single" w:sz="4" w:space="0" w:color="auto"/>
              <w:right w:val="single" w:sz="4" w:space="0" w:color="auto"/>
            </w:tcBorders>
            <w:shd w:val="clear" w:color="auto" w:fill="auto"/>
            <w:noWrap/>
            <w:vAlign w:val="bottom"/>
            <w:hideMark/>
          </w:tcPr>
          <w:p w14:paraId="2693C46C"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14:paraId="0DE3295F"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1380" w:type="dxa"/>
            <w:tcBorders>
              <w:top w:val="nil"/>
              <w:left w:val="nil"/>
              <w:bottom w:val="single" w:sz="4" w:space="0" w:color="auto"/>
              <w:right w:val="single" w:sz="4" w:space="0" w:color="auto"/>
            </w:tcBorders>
            <w:shd w:val="clear" w:color="auto" w:fill="auto"/>
            <w:noWrap/>
            <w:vAlign w:val="bottom"/>
            <w:hideMark/>
          </w:tcPr>
          <w:p w14:paraId="5EB6D596"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Datum schválení</w:t>
            </w:r>
          </w:p>
        </w:tc>
        <w:tc>
          <w:tcPr>
            <w:tcW w:w="232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72CBE8D" w14:textId="77777777" w:rsidR="00534576" w:rsidRPr="00236D2B" w:rsidRDefault="00534576" w:rsidP="0048001C">
            <w:pPr>
              <w:spacing w:after="0" w:line="240" w:lineRule="auto"/>
              <w:jc w:val="center"/>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21. 2. 2025</w:t>
            </w:r>
          </w:p>
        </w:tc>
        <w:tc>
          <w:tcPr>
            <w:tcW w:w="2459" w:type="dxa"/>
            <w:tcBorders>
              <w:top w:val="nil"/>
              <w:left w:val="nil"/>
              <w:bottom w:val="single" w:sz="4" w:space="0" w:color="auto"/>
              <w:right w:val="single" w:sz="4" w:space="0" w:color="auto"/>
            </w:tcBorders>
            <w:shd w:val="clear" w:color="auto" w:fill="auto"/>
            <w:noWrap/>
            <w:vAlign w:val="bottom"/>
            <w:hideMark/>
          </w:tcPr>
          <w:p w14:paraId="7A96DFA4"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Schválil</w:t>
            </w:r>
          </w:p>
        </w:tc>
        <w:tc>
          <w:tcPr>
            <w:tcW w:w="1404" w:type="dxa"/>
            <w:gridSpan w:val="3"/>
            <w:tcBorders>
              <w:top w:val="single" w:sz="4" w:space="0" w:color="auto"/>
              <w:left w:val="nil"/>
              <w:bottom w:val="single" w:sz="4" w:space="0" w:color="auto"/>
              <w:right w:val="single" w:sz="12" w:space="0" w:color="000000"/>
            </w:tcBorders>
            <w:shd w:val="clear" w:color="auto" w:fill="auto"/>
            <w:noWrap/>
            <w:vAlign w:val="bottom"/>
            <w:hideMark/>
          </w:tcPr>
          <w:p w14:paraId="090E8E2B" w14:textId="77777777" w:rsidR="00534576" w:rsidRPr="00236D2B" w:rsidRDefault="00534576" w:rsidP="0048001C">
            <w:pPr>
              <w:spacing w:after="0" w:line="240" w:lineRule="auto"/>
              <w:jc w:val="center"/>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VV ŠSČR</w:t>
            </w:r>
          </w:p>
        </w:tc>
      </w:tr>
      <w:tr w:rsidR="00534576" w:rsidRPr="00236D2B" w14:paraId="4F6DFF29" w14:textId="77777777" w:rsidTr="00534576">
        <w:trPr>
          <w:trHeight w:val="300"/>
        </w:trPr>
        <w:tc>
          <w:tcPr>
            <w:tcW w:w="960" w:type="dxa"/>
            <w:tcBorders>
              <w:top w:val="nil"/>
              <w:left w:val="single" w:sz="12" w:space="0" w:color="auto"/>
              <w:bottom w:val="single" w:sz="4" w:space="0" w:color="auto"/>
              <w:right w:val="single" w:sz="4" w:space="0" w:color="auto"/>
            </w:tcBorders>
            <w:shd w:val="clear" w:color="auto" w:fill="auto"/>
            <w:noWrap/>
            <w:vAlign w:val="bottom"/>
            <w:hideMark/>
          </w:tcPr>
          <w:p w14:paraId="1531067B"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960" w:type="dxa"/>
            <w:tcBorders>
              <w:top w:val="nil"/>
              <w:left w:val="nil"/>
              <w:bottom w:val="single" w:sz="4" w:space="0" w:color="auto"/>
              <w:right w:val="single" w:sz="4" w:space="0" w:color="auto"/>
            </w:tcBorders>
            <w:shd w:val="clear" w:color="auto" w:fill="auto"/>
            <w:noWrap/>
            <w:vAlign w:val="bottom"/>
            <w:hideMark/>
          </w:tcPr>
          <w:p w14:paraId="14D26631"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1380" w:type="dxa"/>
            <w:tcBorders>
              <w:top w:val="nil"/>
              <w:left w:val="nil"/>
              <w:bottom w:val="single" w:sz="4" w:space="0" w:color="auto"/>
              <w:right w:val="single" w:sz="4" w:space="0" w:color="auto"/>
            </w:tcBorders>
            <w:shd w:val="clear" w:color="auto" w:fill="auto"/>
            <w:noWrap/>
            <w:vAlign w:val="bottom"/>
            <w:hideMark/>
          </w:tcPr>
          <w:p w14:paraId="66A7208B" w14:textId="6CE1B557" w:rsidR="00534576" w:rsidRPr="00236D2B" w:rsidRDefault="00660EC6" w:rsidP="0048001C">
            <w:pPr>
              <w:spacing w:after="0" w:line="240" w:lineRule="auto"/>
              <w:rPr>
                <w:rFonts w:ascii="Aptos Narrow" w:eastAsia="Times New Roman" w:hAnsi="Aptos Narrow" w:cs="Times New Roman"/>
                <w:color w:val="000000"/>
                <w:kern w:val="0"/>
                <w:lang w:eastAsia="cs-CZ"/>
              </w:rPr>
            </w:pPr>
            <w:r>
              <w:rPr>
                <w:rFonts w:ascii="Aptos Narrow" w:eastAsia="Times New Roman" w:hAnsi="Aptos Narrow" w:cs="Times New Roman"/>
                <w:color w:val="000000"/>
                <w:kern w:val="0"/>
                <w:lang w:eastAsia="cs-CZ"/>
              </w:rPr>
              <w:t>Účinnost od</w:t>
            </w:r>
          </w:p>
        </w:tc>
        <w:tc>
          <w:tcPr>
            <w:tcW w:w="232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4985DEC" w14:textId="77777777" w:rsidR="00534576" w:rsidRPr="00236D2B" w:rsidRDefault="00534576" w:rsidP="0048001C">
            <w:pPr>
              <w:spacing w:after="0" w:line="240" w:lineRule="auto"/>
              <w:jc w:val="center"/>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31. 12. 2024</w:t>
            </w:r>
          </w:p>
        </w:tc>
        <w:tc>
          <w:tcPr>
            <w:tcW w:w="2459" w:type="dxa"/>
            <w:tcBorders>
              <w:top w:val="nil"/>
              <w:left w:val="nil"/>
              <w:bottom w:val="single" w:sz="4" w:space="0" w:color="auto"/>
              <w:right w:val="single" w:sz="4" w:space="0" w:color="auto"/>
            </w:tcBorders>
            <w:shd w:val="clear" w:color="auto" w:fill="auto"/>
            <w:noWrap/>
            <w:vAlign w:val="bottom"/>
            <w:hideMark/>
          </w:tcPr>
          <w:p w14:paraId="5457F003"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247" w:type="dxa"/>
            <w:tcBorders>
              <w:top w:val="nil"/>
              <w:left w:val="nil"/>
              <w:bottom w:val="single" w:sz="4" w:space="0" w:color="auto"/>
              <w:right w:val="single" w:sz="4" w:space="0" w:color="auto"/>
            </w:tcBorders>
            <w:shd w:val="clear" w:color="auto" w:fill="auto"/>
            <w:noWrap/>
            <w:vAlign w:val="bottom"/>
            <w:hideMark/>
          </w:tcPr>
          <w:p w14:paraId="4C9F95A8"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247" w:type="dxa"/>
            <w:tcBorders>
              <w:top w:val="nil"/>
              <w:left w:val="nil"/>
              <w:bottom w:val="single" w:sz="4" w:space="0" w:color="auto"/>
              <w:right w:val="single" w:sz="4" w:space="0" w:color="auto"/>
            </w:tcBorders>
            <w:shd w:val="clear" w:color="auto" w:fill="auto"/>
            <w:noWrap/>
            <w:vAlign w:val="bottom"/>
            <w:hideMark/>
          </w:tcPr>
          <w:p w14:paraId="213D1D75"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c>
          <w:tcPr>
            <w:tcW w:w="910" w:type="dxa"/>
            <w:tcBorders>
              <w:top w:val="nil"/>
              <w:left w:val="nil"/>
              <w:bottom w:val="single" w:sz="4" w:space="0" w:color="auto"/>
              <w:right w:val="single" w:sz="12" w:space="0" w:color="auto"/>
            </w:tcBorders>
            <w:shd w:val="clear" w:color="auto" w:fill="auto"/>
            <w:noWrap/>
            <w:vAlign w:val="bottom"/>
            <w:hideMark/>
          </w:tcPr>
          <w:p w14:paraId="409FD9A9" w14:textId="77777777" w:rsidR="00534576" w:rsidRPr="00236D2B" w:rsidRDefault="00534576" w:rsidP="0048001C">
            <w:pPr>
              <w:spacing w:after="0" w:line="240" w:lineRule="auto"/>
              <w:rPr>
                <w:rFonts w:ascii="Aptos Narrow" w:eastAsia="Times New Roman" w:hAnsi="Aptos Narrow" w:cs="Times New Roman"/>
                <w:color w:val="000000"/>
                <w:kern w:val="0"/>
                <w:lang w:eastAsia="cs-CZ"/>
              </w:rPr>
            </w:pPr>
            <w:r w:rsidRPr="00236D2B">
              <w:rPr>
                <w:rFonts w:ascii="Aptos Narrow" w:eastAsia="Times New Roman" w:hAnsi="Aptos Narrow" w:cs="Times New Roman"/>
                <w:color w:val="000000"/>
                <w:kern w:val="0"/>
                <w:lang w:eastAsia="cs-CZ"/>
              </w:rPr>
              <w:t> </w:t>
            </w:r>
          </w:p>
        </w:tc>
      </w:tr>
    </w:tbl>
    <w:p w14:paraId="1407E533"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 xml:space="preserve">Směrnice pro podpůrný fond </w:t>
      </w:r>
      <w:r w:rsidR="00EC5411">
        <w:rPr>
          <w:rFonts w:ascii="Times New Roman" w:eastAsia="Times New Roman" w:hAnsi="Times New Roman" w:cs="Times New Roman"/>
          <w:b/>
          <w:bCs/>
          <w:kern w:val="0"/>
          <w:sz w:val="24"/>
          <w:szCs w:val="24"/>
          <w:lang w:eastAsia="cs-CZ"/>
        </w:rPr>
        <w:t>Šachového svazu České republiky z. s.</w:t>
      </w:r>
    </w:p>
    <w:p w14:paraId="0DF0973E"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Článek I: Účel podpůrného fondu</w:t>
      </w:r>
    </w:p>
    <w:p w14:paraId="61E6E476" w14:textId="20846F36" w:rsidR="00FB6E1C" w:rsidRPr="00FB6E1C" w:rsidRDefault="00FB6E1C" w:rsidP="00446A7D">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Podpůrný fond (dále jen „Fond“) je zřízen za účelem finanční podpory talentovaných šachistů mladších 18 let, kteří jsou členy Šachového svazu České republiky, z. s. (dále jen „ŠSČR“), jsou zařazeni na Listině talentů ŠSČR nebo příslušného krajského šachového svazu a jejichž rodinné finanční či sociální poměry omezují možnosti financování jejich šachové činnosti.</w:t>
      </w:r>
    </w:p>
    <w:p w14:paraId="71D772E2" w14:textId="4002F9B1" w:rsidR="00FB6E1C" w:rsidRPr="00FB6E1C" w:rsidRDefault="00FB6E1C" w:rsidP="00446A7D">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Prostředky Fondu jsou určeny k úhradě nebo částečné úhradě nákladů souvisejících s šachovým rozvojem podporovaných šachistů, zejména s jejich účastí na turnajích, trénincích, soustředěních a další přípravě.</w:t>
      </w:r>
    </w:p>
    <w:p w14:paraId="715F3725" w14:textId="77777777" w:rsidR="00FB6E1C" w:rsidRPr="00FB6E1C" w:rsidRDefault="00FB6E1C" w:rsidP="00446A7D">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Fond je zřízen v souladu s ustanoveními občanského zákoníku (zákon č. 89/2012 Sb.), konkrétně § 217 a následujícími, a dalšími souvisejícími právními předpisy upravujícími činnost neziskových organizací.</w:t>
      </w:r>
    </w:p>
    <w:p w14:paraId="6CD367C5"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Článek II: Správa Fondu</w:t>
      </w:r>
    </w:p>
    <w:p w14:paraId="0540EEF9" w14:textId="65DD8D56" w:rsidR="00FB6E1C" w:rsidRPr="00FB6E1C" w:rsidRDefault="00FB6E1C" w:rsidP="00446A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 xml:space="preserve">Fond spravuje </w:t>
      </w:r>
      <w:r w:rsidR="00660EC6">
        <w:rPr>
          <w:rFonts w:ascii="Times New Roman" w:eastAsia="Times New Roman" w:hAnsi="Times New Roman" w:cs="Times New Roman"/>
          <w:kern w:val="0"/>
          <w:sz w:val="24"/>
          <w:szCs w:val="24"/>
          <w:lang w:eastAsia="cs-CZ"/>
        </w:rPr>
        <w:t>V</w:t>
      </w:r>
      <w:r w:rsidRPr="00FB6E1C">
        <w:rPr>
          <w:rFonts w:ascii="Times New Roman" w:eastAsia="Times New Roman" w:hAnsi="Times New Roman" w:cs="Times New Roman"/>
          <w:kern w:val="0"/>
          <w:sz w:val="24"/>
          <w:szCs w:val="24"/>
          <w:lang w:eastAsia="cs-CZ"/>
        </w:rPr>
        <w:t>ýkonný výbor</w:t>
      </w:r>
      <w:r w:rsidR="00EC5411">
        <w:rPr>
          <w:rFonts w:ascii="Times New Roman" w:eastAsia="Times New Roman" w:hAnsi="Times New Roman" w:cs="Times New Roman"/>
          <w:kern w:val="0"/>
          <w:sz w:val="24"/>
          <w:szCs w:val="24"/>
          <w:lang w:eastAsia="cs-CZ"/>
        </w:rPr>
        <w:t xml:space="preserve"> Š</w:t>
      </w:r>
      <w:r w:rsidR="00660EC6">
        <w:rPr>
          <w:rFonts w:ascii="Times New Roman" w:eastAsia="Times New Roman" w:hAnsi="Times New Roman" w:cs="Times New Roman"/>
          <w:kern w:val="0"/>
          <w:sz w:val="24"/>
          <w:szCs w:val="24"/>
          <w:lang w:eastAsia="cs-CZ"/>
        </w:rPr>
        <w:t>SČR</w:t>
      </w:r>
      <w:r w:rsidRPr="00FB6E1C">
        <w:rPr>
          <w:rFonts w:ascii="Times New Roman" w:eastAsia="Times New Roman" w:hAnsi="Times New Roman" w:cs="Times New Roman"/>
          <w:kern w:val="0"/>
          <w:sz w:val="24"/>
          <w:szCs w:val="24"/>
          <w:lang w:eastAsia="cs-CZ"/>
        </w:rPr>
        <w:t xml:space="preserve"> (dále jen "</w:t>
      </w:r>
      <w:r w:rsidR="00EC5411">
        <w:rPr>
          <w:rFonts w:ascii="Times New Roman" w:eastAsia="Times New Roman" w:hAnsi="Times New Roman" w:cs="Times New Roman"/>
          <w:kern w:val="0"/>
          <w:sz w:val="24"/>
          <w:szCs w:val="24"/>
          <w:lang w:eastAsia="cs-CZ"/>
        </w:rPr>
        <w:t>V</w:t>
      </w:r>
      <w:r w:rsidR="00660EC6">
        <w:rPr>
          <w:rFonts w:ascii="Times New Roman" w:eastAsia="Times New Roman" w:hAnsi="Times New Roman" w:cs="Times New Roman"/>
          <w:kern w:val="0"/>
          <w:sz w:val="24"/>
          <w:szCs w:val="24"/>
          <w:lang w:eastAsia="cs-CZ"/>
        </w:rPr>
        <w:t>V ŠSČR</w:t>
      </w:r>
      <w:r w:rsidRPr="00FB6E1C">
        <w:rPr>
          <w:rFonts w:ascii="Times New Roman" w:eastAsia="Times New Roman" w:hAnsi="Times New Roman" w:cs="Times New Roman"/>
          <w:kern w:val="0"/>
          <w:sz w:val="24"/>
          <w:szCs w:val="24"/>
          <w:lang w:eastAsia="cs-CZ"/>
        </w:rPr>
        <w:t>").</w:t>
      </w:r>
    </w:p>
    <w:p w14:paraId="271C8A6B" w14:textId="0DAFAE2D" w:rsidR="00FB6E1C" w:rsidRPr="00FB6E1C" w:rsidRDefault="00FB6E1C" w:rsidP="00446A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V</w:t>
      </w:r>
      <w:r w:rsidR="003838D6">
        <w:rPr>
          <w:rFonts w:ascii="Times New Roman" w:eastAsia="Times New Roman" w:hAnsi="Times New Roman" w:cs="Times New Roman"/>
          <w:kern w:val="0"/>
          <w:sz w:val="24"/>
          <w:szCs w:val="24"/>
          <w:lang w:eastAsia="cs-CZ"/>
        </w:rPr>
        <w:t>V ŠSČR</w:t>
      </w:r>
      <w:r w:rsidRPr="00FB6E1C">
        <w:rPr>
          <w:rFonts w:ascii="Times New Roman" w:eastAsia="Times New Roman" w:hAnsi="Times New Roman" w:cs="Times New Roman"/>
          <w:kern w:val="0"/>
          <w:sz w:val="24"/>
          <w:szCs w:val="24"/>
          <w:lang w:eastAsia="cs-CZ"/>
        </w:rPr>
        <w:t xml:space="preserve"> odpovídá za efektivní a transparentní správu Fondu v souladu s touto směrnicí.</w:t>
      </w:r>
    </w:p>
    <w:p w14:paraId="0CF6FB0C" w14:textId="1AB69B36" w:rsidR="00FB6E1C" w:rsidRPr="00FB6E1C" w:rsidRDefault="00FB6E1C" w:rsidP="00446A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Finanční prostředky Fondu jsou evidovány odděleně od ostatních prostředků ŠSČR, způsobem umožňujícím samostatně sledovat příjmy, výdaje a zůstatek Fondu.</w:t>
      </w:r>
    </w:p>
    <w:p w14:paraId="7A09BC78"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Článek III: Příjmy Fondu</w:t>
      </w:r>
    </w:p>
    <w:p w14:paraId="629041E0" w14:textId="770ACA2F" w:rsidR="00FB6E1C" w:rsidRPr="00FB6E1C" w:rsidRDefault="00FB6E1C" w:rsidP="00446A7D">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 xml:space="preserve">Fond je pro rok 2025 tvořen z části </w:t>
      </w:r>
      <w:proofErr w:type="spellStart"/>
      <w:r w:rsidR="00057730" w:rsidRPr="00FB6E1C">
        <w:rPr>
          <w:rFonts w:ascii="Times New Roman" w:eastAsia="Times New Roman" w:hAnsi="Times New Roman" w:cs="Times New Roman"/>
          <w:kern w:val="0"/>
          <w:sz w:val="24"/>
          <w:szCs w:val="24"/>
          <w:lang w:eastAsia="cs-CZ"/>
        </w:rPr>
        <w:t>na</w:t>
      </w:r>
      <w:r w:rsidR="00660EC6">
        <w:rPr>
          <w:rFonts w:ascii="Times New Roman" w:eastAsia="Times New Roman" w:hAnsi="Times New Roman" w:cs="Times New Roman"/>
          <w:kern w:val="0"/>
          <w:sz w:val="24"/>
          <w:szCs w:val="24"/>
          <w:lang w:eastAsia="cs-CZ"/>
        </w:rPr>
        <w:t>dv</w:t>
      </w:r>
      <w:r w:rsidR="00057730" w:rsidRPr="00FB6E1C">
        <w:rPr>
          <w:rFonts w:ascii="Times New Roman" w:eastAsia="Times New Roman" w:hAnsi="Times New Roman" w:cs="Times New Roman"/>
          <w:kern w:val="0"/>
          <w:sz w:val="24"/>
          <w:szCs w:val="24"/>
          <w:lang w:eastAsia="cs-CZ"/>
        </w:rPr>
        <w:t>ýběru</w:t>
      </w:r>
      <w:proofErr w:type="spellEnd"/>
      <w:r w:rsidRPr="00FB6E1C">
        <w:rPr>
          <w:rFonts w:ascii="Times New Roman" w:eastAsia="Times New Roman" w:hAnsi="Times New Roman" w:cs="Times New Roman"/>
          <w:kern w:val="0"/>
          <w:sz w:val="24"/>
          <w:szCs w:val="24"/>
          <w:lang w:eastAsia="cs-CZ"/>
        </w:rPr>
        <w:t xml:space="preserve"> členských příspěvků z roku 2024.</w:t>
      </w:r>
    </w:p>
    <w:p w14:paraId="533C18FF" w14:textId="135459F8" w:rsidR="00FB6E1C" w:rsidRPr="00FB6E1C" w:rsidRDefault="00FB6E1C" w:rsidP="00446A7D">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Pro další roky se doplňování</w:t>
      </w:r>
      <w:r w:rsidR="00EC5411">
        <w:rPr>
          <w:rFonts w:ascii="Times New Roman" w:eastAsia="Times New Roman" w:hAnsi="Times New Roman" w:cs="Times New Roman"/>
          <w:kern w:val="0"/>
          <w:sz w:val="24"/>
          <w:szCs w:val="24"/>
          <w:lang w:eastAsia="cs-CZ"/>
        </w:rPr>
        <w:t xml:space="preserve"> finančních prostředků do </w:t>
      </w:r>
      <w:r w:rsidRPr="00FB6E1C">
        <w:rPr>
          <w:rFonts w:ascii="Times New Roman" w:eastAsia="Times New Roman" w:hAnsi="Times New Roman" w:cs="Times New Roman"/>
          <w:kern w:val="0"/>
          <w:sz w:val="24"/>
          <w:szCs w:val="24"/>
          <w:lang w:eastAsia="cs-CZ"/>
        </w:rPr>
        <w:t xml:space="preserve">Fondu bude posuzovat podle aktuálních potřeb a finančních možností </w:t>
      </w:r>
      <w:r w:rsidR="00660EC6">
        <w:rPr>
          <w:rFonts w:ascii="Times New Roman" w:eastAsia="Times New Roman" w:hAnsi="Times New Roman" w:cs="Times New Roman"/>
          <w:kern w:val="0"/>
          <w:sz w:val="24"/>
          <w:szCs w:val="24"/>
          <w:lang w:eastAsia="cs-CZ"/>
        </w:rPr>
        <w:t>ŠSČR</w:t>
      </w:r>
      <w:r w:rsidRPr="00FB6E1C">
        <w:rPr>
          <w:rFonts w:ascii="Times New Roman" w:eastAsia="Times New Roman" w:hAnsi="Times New Roman" w:cs="Times New Roman"/>
          <w:kern w:val="0"/>
          <w:sz w:val="24"/>
          <w:szCs w:val="24"/>
          <w:lang w:eastAsia="cs-CZ"/>
        </w:rPr>
        <w:t>.</w:t>
      </w:r>
    </w:p>
    <w:p w14:paraId="4397DAAF"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Článek IV: Rozhodování o příspěvku</w:t>
      </w:r>
    </w:p>
    <w:p w14:paraId="33AD4291" w14:textId="77777777" w:rsidR="00057730" w:rsidRDefault="00FB6E1C" w:rsidP="00446A7D">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Příspěvek z Fondu může být poskytnut šach</w:t>
      </w:r>
      <w:r w:rsidR="00EC5411">
        <w:rPr>
          <w:rFonts w:ascii="Times New Roman" w:eastAsia="Times New Roman" w:hAnsi="Times New Roman" w:cs="Times New Roman"/>
          <w:kern w:val="0"/>
          <w:sz w:val="24"/>
          <w:szCs w:val="24"/>
          <w:lang w:eastAsia="cs-CZ"/>
        </w:rPr>
        <w:t xml:space="preserve">istům </w:t>
      </w:r>
      <w:r w:rsidRPr="00FB6E1C">
        <w:rPr>
          <w:rFonts w:ascii="Times New Roman" w:eastAsia="Times New Roman" w:hAnsi="Times New Roman" w:cs="Times New Roman"/>
          <w:kern w:val="0"/>
          <w:sz w:val="24"/>
          <w:szCs w:val="24"/>
          <w:lang w:eastAsia="cs-CZ"/>
        </w:rPr>
        <w:t xml:space="preserve">splňujícím tyto podmínky: </w:t>
      </w:r>
    </w:p>
    <w:p w14:paraId="18DF8A19" w14:textId="7963B681" w:rsidR="00057730" w:rsidRDefault="00FB6E1C" w:rsidP="00446A7D">
      <w:pPr>
        <w:numPr>
          <w:ilvl w:val="1"/>
          <w:numId w:val="4"/>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 xml:space="preserve">Jsou členy </w:t>
      </w:r>
      <w:r w:rsidR="00EC5411">
        <w:rPr>
          <w:rFonts w:ascii="Times New Roman" w:eastAsia="Times New Roman" w:hAnsi="Times New Roman" w:cs="Times New Roman"/>
          <w:kern w:val="0"/>
          <w:sz w:val="24"/>
          <w:szCs w:val="24"/>
          <w:lang w:eastAsia="cs-CZ"/>
        </w:rPr>
        <w:t>Š</w:t>
      </w:r>
      <w:r w:rsidR="00660EC6">
        <w:rPr>
          <w:rFonts w:ascii="Times New Roman" w:eastAsia="Times New Roman" w:hAnsi="Times New Roman" w:cs="Times New Roman"/>
          <w:kern w:val="0"/>
          <w:sz w:val="24"/>
          <w:szCs w:val="24"/>
          <w:lang w:eastAsia="cs-CZ"/>
        </w:rPr>
        <w:t>SČR</w:t>
      </w:r>
      <w:r w:rsidRPr="00FB6E1C">
        <w:rPr>
          <w:rFonts w:ascii="Times New Roman" w:eastAsia="Times New Roman" w:hAnsi="Times New Roman" w:cs="Times New Roman"/>
          <w:kern w:val="0"/>
          <w:sz w:val="24"/>
          <w:szCs w:val="24"/>
          <w:lang w:eastAsia="cs-CZ"/>
        </w:rPr>
        <w:t xml:space="preserve">. </w:t>
      </w:r>
    </w:p>
    <w:p w14:paraId="52C19741" w14:textId="10CF0976" w:rsidR="00057730" w:rsidRDefault="00057730" w:rsidP="00446A7D">
      <w:pPr>
        <w:numPr>
          <w:ilvl w:val="1"/>
          <w:numId w:val="4"/>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057730">
        <w:rPr>
          <w:rFonts w:ascii="Times New Roman" w:eastAsia="Times New Roman" w:hAnsi="Times New Roman" w:cs="Times New Roman"/>
          <w:kern w:val="0"/>
          <w:sz w:val="24"/>
          <w:szCs w:val="24"/>
          <w:lang w:eastAsia="cs-CZ"/>
        </w:rPr>
        <w:t>J</w:t>
      </w:r>
      <w:r w:rsidR="00FB6E1C" w:rsidRPr="00FB6E1C">
        <w:rPr>
          <w:rFonts w:ascii="Times New Roman" w:eastAsia="Times New Roman" w:hAnsi="Times New Roman" w:cs="Times New Roman"/>
          <w:kern w:val="0"/>
          <w:sz w:val="24"/>
          <w:szCs w:val="24"/>
          <w:lang w:eastAsia="cs-CZ"/>
        </w:rPr>
        <w:t>sou mladší 18 let</w:t>
      </w:r>
      <w:r w:rsidR="00715507">
        <w:rPr>
          <w:rFonts w:ascii="Times New Roman" w:eastAsia="Times New Roman" w:hAnsi="Times New Roman" w:cs="Times New Roman"/>
          <w:kern w:val="0"/>
          <w:sz w:val="24"/>
          <w:szCs w:val="24"/>
          <w:lang w:eastAsia="cs-CZ"/>
        </w:rPr>
        <w:t xml:space="preserve"> a jsou na Listině talentů ŠSČR nebo listině talentů příslušného krajského šachového svazu</w:t>
      </w:r>
      <w:r w:rsidRPr="00057730">
        <w:rPr>
          <w:rFonts w:ascii="Times New Roman" w:eastAsia="Times New Roman" w:hAnsi="Times New Roman" w:cs="Times New Roman"/>
          <w:kern w:val="0"/>
          <w:sz w:val="24"/>
          <w:szCs w:val="24"/>
          <w:lang w:eastAsia="cs-CZ"/>
        </w:rPr>
        <w:t>.</w:t>
      </w:r>
    </w:p>
    <w:p w14:paraId="67D47EF7" w14:textId="77777777" w:rsidR="00057730" w:rsidRDefault="0084575B" w:rsidP="00446A7D">
      <w:pPr>
        <w:numPr>
          <w:ilvl w:val="1"/>
          <w:numId w:val="4"/>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lastRenderedPageBreak/>
        <w:t>Zákonný zástupce doloží finanční a sociální poměry domácnosti, v níž podporovaný šachista žije, v rozsahu nezbytném pro posouzení žádosti; zohlední se zejména příjmy domácnosti, počet vyživovaných osob, nezbytné výdaje a mimořádné okolnosti.</w:t>
      </w:r>
    </w:p>
    <w:p w14:paraId="5E17A837" w14:textId="77777777" w:rsidR="00FB6E1C" w:rsidRPr="00FB6E1C" w:rsidRDefault="00FB6E1C" w:rsidP="00446A7D">
      <w:pPr>
        <w:numPr>
          <w:ilvl w:val="1"/>
          <w:numId w:val="4"/>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Aktivně se podílejí na šachové činnosti (turnaje, tréninky apod.).</w:t>
      </w:r>
    </w:p>
    <w:p w14:paraId="4C9D21B1" w14:textId="189487F1" w:rsidR="00FB6E1C" w:rsidRPr="00FB6E1C" w:rsidRDefault="00715507" w:rsidP="00446A7D">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O poskytnutí příspěvku a jeho výši rozhoduje na základě žádosti VV ŠSČR. Přihlíží zejména k finanční a sociální situaci domácnosti, účelnosti požadovaných nákladů, šachové aktivitě dítěte, jiným zdrojům financování a možnostem Fondu. Rozhodnutí se zaznamená do zápisu a případné zamítnutí žádosti se žadateli stručně odůvodní. Na poskytnutí příspěvku není právní nárok.</w:t>
      </w:r>
    </w:p>
    <w:p w14:paraId="432269BA" w14:textId="77777777" w:rsidR="00FB6E1C" w:rsidRPr="00FB6E1C" w:rsidRDefault="00FB6E1C" w:rsidP="00446A7D">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O příspěvek lze žádat pouze jednou za rok.</w:t>
      </w:r>
    </w:p>
    <w:p w14:paraId="1A3EEA07" w14:textId="5D802CA0" w:rsidR="00FB6E1C" w:rsidRPr="00FB6E1C" w:rsidRDefault="00FB6E1C" w:rsidP="00446A7D">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V</w:t>
      </w:r>
      <w:r w:rsidR="00660EC6">
        <w:rPr>
          <w:rFonts w:ascii="Times New Roman" w:eastAsia="Times New Roman" w:hAnsi="Times New Roman" w:cs="Times New Roman"/>
          <w:kern w:val="0"/>
          <w:sz w:val="24"/>
          <w:szCs w:val="24"/>
          <w:lang w:eastAsia="cs-CZ"/>
        </w:rPr>
        <w:t xml:space="preserve">V ŠSČR </w:t>
      </w:r>
      <w:r w:rsidRPr="00FB6E1C">
        <w:rPr>
          <w:rFonts w:ascii="Times New Roman" w:eastAsia="Times New Roman" w:hAnsi="Times New Roman" w:cs="Times New Roman"/>
          <w:kern w:val="0"/>
          <w:sz w:val="24"/>
          <w:szCs w:val="24"/>
          <w:lang w:eastAsia="cs-CZ"/>
        </w:rPr>
        <w:t>je povinen posoudit žádost objektivně.</w:t>
      </w:r>
    </w:p>
    <w:p w14:paraId="1D5DCF5F" w14:textId="39D132FC" w:rsidR="00FB6E1C" w:rsidRPr="00FB6E1C" w:rsidRDefault="00FB6E1C" w:rsidP="00446A7D">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Žádosti musí být doručeny ŠSČR do 15. března nebo do 15. září příslušného roku na adresu sekretariátu (sekretariat@chess.cz). Podklady pro rozhodnutí VV ŠSČR zpracovává generální sekretář nebo jím pověřený zaměstnanec ŠSČR. VV ŠSČR má na posouzení žádostí lhůtu do 30. dubna nebo do 31. října daného roku.</w:t>
      </w:r>
    </w:p>
    <w:p w14:paraId="32E92B15"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Článek V: Využití Fondu</w:t>
      </w:r>
    </w:p>
    <w:p w14:paraId="3626879E" w14:textId="143DB7D5" w:rsidR="0084575B" w:rsidRDefault="0052078F" w:rsidP="00446A7D">
      <w:pPr>
        <w:numPr>
          <w:ilvl w:val="0"/>
          <w:numId w:val="5"/>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Prostředky Fondu lze použít pouze k úplné či částečné úhradě schválených nákladů spojených s šachovou činností podporovaného šachisty, zejména na studijní materiály, potřebný software a hardware, tréninky, soustředění a účast na turnajích (startovné, doprava, stravování, ubytování). Použití příspěvku je nutno doložit ve lhůtě určené rozhodnutím VV ŠSČR. Nevyužitá nebo neoprávněně použitá část příspěvku se vrací ŠSČR; změna účelu podléhá předchozímu schválení VV ŠSČR.</w:t>
      </w:r>
    </w:p>
    <w:p w14:paraId="473713A2"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Článek VI: Transparentnost a kontrola</w:t>
      </w:r>
    </w:p>
    <w:p w14:paraId="26F912DB" w14:textId="5D39FD13" w:rsidR="00FB6E1C" w:rsidRPr="00FB6E1C" w:rsidRDefault="00FB6E1C" w:rsidP="00446A7D">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V</w:t>
      </w:r>
      <w:r w:rsidR="003838D6">
        <w:rPr>
          <w:rFonts w:ascii="Times New Roman" w:eastAsia="Times New Roman" w:hAnsi="Times New Roman" w:cs="Times New Roman"/>
          <w:kern w:val="0"/>
          <w:sz w:val="24"/>
          <w:szCs w:val="24"/>
          <w:lang w:eastAsia="cs-CZ"/>
        </w:rPr>
        <w:t>V ŠSČR</w:t>
      </w:r>
      <w:r w:rsidRPr="00FB6E1C">
        <w:rPr>
          <w:rFonts w:ascii="Times New Roman" w:eastAsia="Times New Roman" w:hAnsi="Times New Roman" w:cs="Times New Roman"/>
          <w:kern w:val="0"/>
          <w:sz w:val="24"/>
          <w:szCs w:val="24"/>
          <w:lang w:eastAsia="cs-CZ"/>
        </w:rPr>
        <w:t xml:space="preserve"> vede pravidelnou evidenci o hospodaření Fondu, zahrnující příjmy, výdaje a schválené příspěvky.</w:t>
      </w:r>
    </w:p>
    <w:p w14:paraId="3C552FB4" w14:textId="2C549CF6" w:rsidR="00FB6E1C" w:rsidRPr="00FB6E1C" w:rsidRDefault="00FB6E1C" w:rsidP="00446A7D">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Zpráva o činnosti Fondu je součástí výroční zprávy</w:t>
      </w:r>
      <w:r w:rsidR="003838D6">
        <w:rPr>
          <w:rFonts w:ascii="Times New Roman" w:eastAsia="Times New Roman" w:hAnsi="Times New Roman" w:cs="Times New Roman"/>
          <w:kern w:val="0"/>
          <w:sz w:val="24"/>
          <w:szCs w:val="24"/>
          <w:lang w:eastAsia="cs-CZ"/>
        </w:rPr>
        <w:t xml:space="preserve"> ŠSČR</w:t>
      </w:r>
      <w:r w:rsidRPr="00FB6E1C">
        <w:rPr>
          <w:rFonts w:ascii="Times New Roman" w:eastAsia="Times New Roman" w:hAnsi="Times New Roman" w:cs="Times New Roman"/>
          <w:kern w:val="0"/>
          <w:sz w:val="24"/>
          <w:szCs w:val="24"/>
          <w:lang w:eastAsia="cs-CZ"/>
        </w:rPr>
        <w:t>.</w:t>
      </w:r>
    </w:p>
    <w:p w14:paraId="2B13E58F" w14:textId="571AFB3F" w:rsidR="00FB6E1C" w:rsidRPr="00FB6E1C" w:rsidRDefault="00FB6E1C" w:rsidP="00446A7D">
      <w:pPr>
        <w:numPr>
          <w:ilvl w:val="0"/>
          <w:numId w:val="6"/>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Členové ŠSČR mají právo na informace o hospodaření Fondu v souhrnné podobě. Kontrola podrobných dokladů přísluší oprávněným orgánům ŠSČR; při poskytování informací a zpracování podkladů je nutno chránit osobní údaje žadatelů a jejich rodinných příslušníků.</w:t>
      </w:r>
    </w:p>
    <w:p w14:paraId="355A5845"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Článek VII: Závěrečná ustanovení</w:t>
      </w:r>
    </w:p>
    <w:p w14:paraId="65F9272E" w14:textId="4AE681D3" w:rsidR="00FB6E1C" w:rsidRPr="00FB6E1C" w:rsidRDefault="00FB6E1C" w:rsidP="00446A7D">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Tato směrnice nabývá platnosti dnem jejího schválení</w:t>
      </w:r>
      <w:r w:rsidR="003838D6">
        <w:rPr>
          <w:rFonts w:ascii="Times New Roman" w:eastAsia="Times New Roman" w:hAnsi="Times New Roman" w:cs="Times New Roman"/>
          <w:kern w:val="0"/>
          <w:sz w:val="24"/>
          <w:szCs w:val="24"/>
          <w:lang w:eastAsia="cs-CZ"/>
        </w:rPr>
        <w:t xml:space="preserve"> VV ŠSČR</w:t>
      </w:r>
      <w:r w:rsidRPr="00FB6E1C">
        <w:rPr>
          <w:rFonts w:ascii="Times New Roman" w:eastAsia="Times New Roman" w:hAnsi="Times New Roman" w:cs="Times New Roman"/>
          <w:kern w:val="0"/>
          <w:sz w:val="24"/>
          <w:szCs w:val="24"/>
          <w:lang w:eastAsia="cs-CZ"/>
        </w:rPr>
        <w:t>.</w:t>
      </w:r>
    </w:p>
    <w:p w14:paraId="226100EE" w14:textId="7AD0ADCF" w:rsidR="00FB6E1C" w:rsidRPr="00FB6E1C" w:rsidRDefault="00FB6E1C" w:rsidP="00446A7D">
      <w:pPr>
        <w:numPr>
          <w:ilvl w:val="0"/>
          <w:numId w:val="7"/>
        </w:num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 xml:space="preserve">Jakékoliv změny této směrnice podléhají schválení </w:t>
      </w:r>
      <w:r w:rsidR="003838D6">
        <w:rPr>
          <w:rFonts w:ascii="Times New Roman" w:eastAsia="Times New Roman" w:hAnsi="Times New Roman" w:cs="Times New Roman"/>
          <w:kern w:val="0"/>
          <w:sz w:val="24"/>
          <w:szCs w:val="24"/>
          <w:lang w:eastAsia="cs-CZ"/>
        </w:rPr>
        <w:t>VV ŠSČR</w:t>
      </w:r>
      <w:r w:rsidRPr="00FB6E1C">
        <w:rPr>
          <w:rFonts w:ascii="Times New Roman" w:eastAsia="Times New Roman" w:hAnsi="Times New Roman" w:cs="Times New Roman"/>
          <w:kern w:val="0"/>
          <w:sz w:val="24"/>
          <w:szCs w:val="24"/>
          <w:lang w:eastAsia="cs-CZ"/>
        </w:rPr>
        <w:t>.</w:t>
      </w:r>
    </w:p>
    <w:p w14:paraId="7E6D6F8B" w14:textId="77777777" w:rsidR="00FB6E1C" w:rsidRPr="00FB6E1C" w:rsidRDefault="00FB6E1C" w:rsidP="00446A7D">
      <w:pPr>
        <w:spacing w:before="100" w:beforeAutospacing="1" w:after="100" w:afterAutospacing="1" w:line="240" w:lineRule="auto"/>
        <w:jc w:val="both"/>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Schváleno dne 20. 10. 2026 na 199. schůzi VV ŠSČR.</w:t>
      </w:r>
    </w:p>
    <w:p w14:paraId="58C0B2B1" w14:textId="77777777" w:rsidR="00FB6E1C" w:rsidRPr="00FB6E1C" w:rsidRDefault="00446A7D" w:rsidP="00FB6E1C">
      <w:pPr>
        <w:spacing w:after="0" w:line="240" w:lineRule="auto"/>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pict w14:anchorId="0D9EEF43">
          <v:rect id="_x0000_i1025" style="width:0;height:1.5pt" o:hralign="center" o:hrstd="t" o:hr="t" fillcolor="#a0a0a0" stroked="f"/>
        </w:pict>
      </w:r>
    </w:p>
    <w:p w14:paraId="739410CE" w14:textId="77777777" w:rsidR="00D44CE9" w:rsidRDefault="00D44CE9" w:rsidP="00FB6E1C">
      <w:pPr>
        <w:spacing w:before="100" w:beforeAutospacing="1" w:after="100" w:afterAutospacing="1" w:line="240" w:lineRule="auto"/>
        <w:rPr>
          <w:rFonts w:ascii="Times New Roman" w:eastAsia="Times New Roman" w:hAnsi="Times New Roman" w:cs="Times New Roman"/>
          <w:b/>
          <w:bCs/>
          <w:kern w:val="0"/>
          <w:sz w:val="24"/>
          <w:szCs w:val="24"/>
          <w:lang w:eastAsia="cs-CZ"/>
        </w:rPr>
      </w:pPr>
    </w:p>
    <w:p w14:paraId="1255AD3E" w14:textId="77777777" w:rsidR="00D44CE9" w:rsidRDefault="00D44CE9" w:rsidP="00FB6E1C">
      <w:pPr>
        <w:spacing w:before="100" w:beforeAutospacing="1" w:after="100" w:afterAutospacing="1" w:line="240" w:lineRule="auto"/>
        <w:rPr>
          <w:rFonts w:ascii="Times New Roman" w:eastAsia="Times New Roman" w:hAnsi="Times New Roman" w:cs="Times New Roman"/>
          <w:b/>
          <w:bCs/>
          <w:kern w:val="0"/>
          <w:sz w:val="24"/>
          <w:szCs w:val="24"/>
          <w:lang w:eastAsia="cs-CZ"/>
        </w:rPr>
      </w:pPr>
    </w:p>
    <w:p w14:paraId="5C68A142" w14:textId="77777777" w:rsidR="0070353F" w:rsidRDefault="0070353F" w:rsidP="00FB6E1C">
      <w:pPr>
        <w:spacing w:before="100" w:beforeAutospacing="1" w:after="100" w:afterAutospacing="1" w:line="240" w:lineRule="auto"/>
        <w:rPr>
          <w:rFonts w:ascii="Times New Roman" w:eastAsia="Times New Roman" w:hAnsi="Times New Roman" w:cs="Times New Roman"/>
          <w:b/>
          <w:bCs/>
          <w:kern w:val="0"/>
          <w:sz w:val="24"/>
          <w:szCs w:val="24"/>
          <w:lang w:eastAsia="cs-CZ"/>
        </w:rPr>
      </w:pPr>
    </w:p>
    <w:p w14:paraId="5B6C920E" w14:textId="138B2720"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lastRenderedPageBreak/>
        <w:t>Příloha: Obsah žádosti o příspěvek a požadované podklady</w:t>
      </w:r>
    </w:p>
    <w:p w14:paraId="6F2C18DF"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1. Obsah žádosti:</w:t>
      </w:r>
    </w:p>
    <w:p w14:paraId="09C31189" w14:textId="77777777" w:rsidR="00FB6E1C" w:rsidRPr="00FB6E1C" w:rsidRDefault="00FB6E1C" w:rsidP="00FB6E1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Jméno, příjmení a datum narození podporovaného šachisty; jméno, příjmení a kontaktní údaje zákonného zástupce podávajícího žádost.</w:t>
      </w:r>
    </w:p>
    <w:p w14:paraId="1B846540" w14:textId="77777777" w:rsidR="00FB6E1C" w:rsidRPr="00FB6E1C" w:rsidRDefault="00FB6E1C" w:rsidP="00FB6E1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Datum narození.</w:t>
      </w:r>
    </w:p>
    <w:p w14:paraId="412D0FBB" w14:textId="77777777" w:rsidR="00FB6E1C" w:rsidRPr="00FB6E1C" w:rsidRDefault="00FB6E1C" w:rsidP="00FB6E1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Kontaktní údaje (telefon, e-mail, adresa).</w:t>
      </w:r>
    </w:p>
    <w:p w14:paraId="78C15DB6" w14:textId="261544D6" w:rsidR="00FB6E1C" w:rsidRPr="00FB6E1C" w:rsidRDefault="00FB6E1C" w:rsidP="00FB6E1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 xml:space="preserve">Členství v </w:t>
      </w:r>
      <w:r w:rsidR="003838D6">
        <w:rPr>
          <w:rFonts w:ascii="Times New Roman" w:eastAsia="Times New Roman" w:hAnsi="Times New Roman" w:cs="Times New Roman"/>
          <w:kern w:val="0"/>
          <w:sz w:val="24"/>
          <w:szCs w:val="24"/>
          <w:lang w:eastAsia="cs-CZ"/>
        </w:rPr>
        <w:t>ŠSČR</w:t>
      </w:r>
      <w:r w:rsidRPr="00FB6E1C">
        <w:rPr>
          <w:rFonts w:ascii="Times New Roman" w:eastAsia="Times New Roman" w:hAnsi="Times New Roman" w:cs="Times New Roman"/>
          <w:kern w:val="0"/>
          <w:sz w:val="24"/>
          <w:szCs w:val="24"/>
          <w:lang w:eastAsia="cs-CZ"/>
        </w:rPr>
        <w:t xml:space="preserve"> (</w:t>
      </w:r>
      <w:r w:rsidR="003838D6">
        <w:rPr>
          <w:rFonts w:ascii="Times New Roman" w:eastAsia="Times New Roman" w:hAnsi="Times New Roman" w:cs="Times New Roman"/>
          <w:kern w:val="0"/>
          <w:sz w:val="24"/>
          <w:szCs w:val="24"/>
          <w:lang w:eastAsia="cs-CZ"/>
        </w:rPr>
        <w:t>č. LOK</w:t>
      </w:r>
      <w:r w:rsidRPr="00FB6E1C">
        <w:rPr>
          <w:rFonts w:ascii="Times New Roman" w:eastAsia="Times New Roman" w:hAnsi="Times New Roman" w:cs="Times New Roman"/>
          <w:kern w:val="0"/>
          <w:sz w:val="24"/>
          <w:szCs w:val="24"/>
          <w:lang w:eastAsia="cs-CZ"/>
        </w:rPr>
        <w:t>).</w:t>
      </w:r>
    </w:p>
    <w:p w14:paraId="2D34F4B9" w14:textId="77777777" w:rsidR="00FB6E1C" w:rsidRPr="00FB6E1C" w:rsidRDefault="00FB6E1C" w:rsidP="00FB6E1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Popis šachové činnosti (účast na turnajích, tréninky apod.).</w:t>
      </w:r>
    </w:p>
    <w:p w14:paraId="639D1C5F" w14:textId="77777777" w:rsidR="00FB6E1C" w:rsidRPr="00FB6E1C" w:rsidRDefault="00FB6E1C" w:rsidP="00FB6E1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Účel žádosti a požadovaná částka.</w:t>
      </w:r>
    </w:p>
    <w:p w14:paraId="1D564713" w14:textId="77777777" w:rsidR="00FB6E1C" w:rsidRPr="00FB6E1C" w:rsidRDefault="00FB6E1C" w:rsidP="00FB6E1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Datum podání žádosti.</w:t>
      </w:r>
    </w:p>
    <w:p w14:paraId="11F16039" w14:textId="77777777"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b/>
          <w:bCs/>
          <w:kern w:val="0"/>
          <w:sz w:val="24"/>
          <w:szCs w:val="24"/>
          <w:lang w:eastAsia="cs-CZ"/>
        </w:rPr>
        <w:t>2. Požadované podklady:</w:t>
      </w:r>
    </w:p>
    <w:p w14:paraId="740526A6" w14:textId="77777777" w:rsidR="00FB6E1C" w:rsidRPr="00FB6E1C" w:rsidRDefault="00FB6E1C" w:rsidP="00FB6E1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Přiměřené doložení finančních a sociálních poměrů domácnosti (např. potvrzením o příjmech nebo souhrnným přehledem); další konkrétní doklady se vyžadují jen tehdy, jsou-li pro posouzení žádosti nezbytné.</w:t>
      </w:r>
    </w:p>
    <w:p w14:paraId="04A89423" w14:textId="77777777" w:rsidR="00FB6E1C" w:rsidRPr="00FB6E1C" w:rsidRDefault="00FB6E1C" w:rsidP="00FB6E1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Přehled nezbytných výdajů domácnosti a počtu vyživovaných osob v rozsahu potřebném k posouzení žádosti.</w:t>
      </w:r>
    </w:p>
    <w:p w14:paraId="234AD14E" w14:textId="77777777" w:rsidR="00FB6E1C" w:rsidRPr="00FB6E1C" w:rsidRDefault="00FB6E1C" w:rsidP="00FB6E1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Dokumentace související s účelem žádosti (např. pozvánka na turnaj, potvrzení o registraci do soutěže).</w:t>
      </w:r>
    </w:p>
    <w:p w14:paraId="084C56A9" w14:textId="77777777" w:rsidR="00FB6E1C" w:rsidRPr="00FB6E1C" w:rsidRDefault="00FB6E1C" w:rsidP="00FB6E1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cs-CZ"/>
        </w:rPr>
      </w:pPr>
      <w:r>
        <w:rPr>
          <w:rFonts w:ascii="Times New Roman" w:eastAsia="Times New Roman" w:hAnsi="Times New Roman" w:cs="Times New Roman"/>
          <w:kern w:val="0"/>
          <w:sz w:val="24"/>
          <w:szCs w:val="24"/>
          <w:lang w:eastAsia="cs-CZ"/>
        </w:rPr>
        <w:t>Prohlášení zákonného zástupce o pravdivosti uvedených údajů a o případném financování stejného účelu z jiných zdrojů; závazek doložit využití poskytnutého příspěvku.</w:t>
      </w:r>
    </w:p>
    <w:p w14:paraId="73A54325" w14:textId="0E34FD6D" w:rsidR="00FB6E1C" w:rsidRPr="00FB6E1C" w:rsidRDefault="00FB6E1C" w:rsidP="00FB6E1C">
      <w:pPr>
        <w:spacing w:before="100" w:beforeAutospacing="1" w:after="100" w:afterAutospacing="1" w:line="240" w:lineRule="auto"/>
        <w:rPr>
          <w:rFonts w:ascii="Times New Roman" w:eastAsia="Times New Roman" w:hAnsi="Times New Roman" w:cs="Times New Roman"/>
          <w:kern w:val="0"/>
          <w:sz w:val="24"/>
          <w:szCs w:val="24"/>
          <w:lang w:eastAsia="cs-CZ"/>
        </w:rPr>
      </w:pPr>
      <w:r w:rsidRPr="00FB6E1C">
        <w:rPr>
          <w:rFonts w:ascii="Times New Roman" w:eastAsia="Times New Roman" w:hAnsi="Times New Roman" w:cs="Times New Roman"/>
          <w:kern w:val="0"/>
          <w:sz w:val="24"/>
          <w:szCs w:val="24"/>
          <w:lang w:eastAsia="cs-CZ"/>
        </w:rPr>
        <w:t>Žádosti včetně všech požadovaných podkladů je nutné doručit</w:t>
      </w:r>
      <w:r w:rsidR="003838D6">
        <w:rPr>
          <w:rFonts w:ascii="Times New Roman" w:eastAsia="Times New Roman" w:hAnsi="Times New Roman" w:cs="Times New Roman"/>
          <w:kern w:val="0"/>
          <w:sz w:val="24"/>
          <w:szCs w:val="24"/>
          <w:lang w:eastAsia="cs-CZ"/>
        </w:rPr>
        <w:t xml:space="preserve"> ŠSČR</w:t>
      </w:r>
      <w:r w:rsidRPr="00FB6E1C">
        <w:rPr>
          <w:rFonts w:ascii="Times New Roman" w:eastAsia="Times New Roman" w:hAnsi="Times New Roman" w:cs="Times New Roman"/>
          <w:kern w:val="0"/>
          <w:sz w:val="24"/>
          <w:szCs w:val="24"/>
          <w:lang w:eastAsia="cs-CZ"/>
        </w:rPr>
        <w:t xml:space="preserve"> do 15. března nebo 15. září příslušného roku.</w:t>
      </w:r>
    </w:p>
    <w:sectPr w:rsidR="00FB6E1C" w:rsidRPr="00FB6E1C" w:rsidSect="00E822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ptos Narrow">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94D51"/>
    <w:multiLevelType w:val="multilevel"/>
    <w:tmpl w:val="DB34E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D20012"/>
    <w:multiLevelType w:val="multilevel"/>
    <w:tmpl w:val="B498A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DF5381"/>
    <w:multiLevelType w:val="multilevel"/>
    <w:tmpl w:val="A97C7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AB6614"/>
    <w:multiLevelType w:val="multilevel"/>
    <w:tmpl w:val="D62C00C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8614047"/>
    <w:multiLevelType w:val="multilevel"/>
    <w:tmpl w:val="52E0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7128A5"/>
    <w:multiLevelType w:val="multilevel"/>
    <w:tmpl w:val="D62C00C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B206CB5"/>
    <w:multiLevelType w:val="multilevel"/>
    <w:tmpl w:val="5A96A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DC7458"/>
    <w:multiLevelType w:val="multilevel"/>
    <w:tmpl w:val="4BF0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47357E"/>
    <w:multiLevelType w:val="multilevel"/>
    <w:tmpl w:val="C0146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9E6F38"/>
    <w:multiLevelType w:val="multilevel"/>
    <w:tmpl w:val="291A3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0"/>
  </w:num>
  <w:num w:numId="4">
    <w:abstractNumId w:val="5"/>
  </w:num>
  <w:num w:numId="5">
    <w:abstractNumId w:val="3"/>
  </w:num>
  <w:num w:numId="6">
    <w:abstractNumId w:val="6"/>
  </w:num>
  <w:num w:numId="7">
    <w:abstractNumId w:val="2"/>
  </w:num>
  <w:num w:numId="8">
    <w:abstractNumId w:val="4"/>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E1C"/>
    <w:rsid w:val="00057730"/>
    <w:rsid w:val="00087C54"/>
    <w:rsid w:val="000D6BF1"/>
    <w:rsid w:val="001448BC"/>
    <w:rsid w:val="002D68E8"/>
    <w:rsid w:val="00326403"/>
    <w:rsid w:val="003473C5"/>
    <w:rsid w:val="003838D6"/>
    <w:rsid w:val="00446A7D"/>
    <w:rsid w:val="004A5FBA"/>
    <w:rsid w:val="005165F5"/>
    <w:rsid w:val="0052078F"/>
    <w:rsid w:val="00534576"/>
    <w:rsid w:val="0055061A"/>
    <w:rsid w:val="005D348D"/>
    <w:rsid w:val="00660EC6"/>
    <w:rsid w:val="0070353F"/>
    <w:rsid w:val="00715507"/>
    <w:rsid w:val="007E334B"/>
    <w:rsid w:val="0084575B"/>
    <w:rsid w:val="00957CE3"/>
    <w:rsid w:val="009A133D"/>
    <w:rsid w:val="009E475C"/>
    <w:rsid w:val="00A93CB4"/>
    <w:rsid w:val="00B0020F"/>
    <w:rsid w:val="00B03591"/>
    <w:rsid w:val="00CA20FE"/>
    <w:rsid w:val="00D040C4"/>
    <w:rsid w:val="00D44CE9"/>
    <w:rsid w:val="00E822A1"/>
    <w:rsid w:val="00EC5411"/>
    <w:rsid w:val="00F476DF"/>
    <w:rsid w:val="00FB6E1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34AB4"/>
  <w15:docId w15:val="{D29E5518-90CE-407A-83B7-5C3CFC4E3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822A1"/>
  </w:style>
  <w:style w:type="paragraph" w:styleId="Nadpis1">
    <w:name w:val="heading 1"/>
    <w:basedOn w:val="Normln"/>
    <w:next w:val="Normln"/>
    <w:link w:val="Nadpis1Char"/>
    <w:uiPriority w:val="9"/>
    <w:qFormat/>
    <w:rsid w:val="00FB6E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B6E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B6E1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B6E1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B6E1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B6E1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B6E1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B6E1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B6E1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B6E1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B6E1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B6E1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B6E1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B6E1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B6E1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B6E1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B6E1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B6E1C"/>
    <w:rPr>
      <w:rFonts w:eastAsiaTheme="majorEastAsia" w:cstheme="majorBidi"/>
      <w:color w:val="272727" w:themeColor="text1" w:themeTint="D8"/>
    </w:rPr>
  </w:style>
  <w:style w:type="paragraph" w:styleId="Nzev">
    <w:name w:val="Title"/>
    <w:basedOn w:val="Normln"/>
    <w:next w:val="Normln"/>
    <w:link w:val="NzevChar"/>
    <w:uiPriority w:val="10"/>
    <w:qFormat/>
    <w:rsid w:val="00FB6E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B6E1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B6E1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B6E1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B6E1C"/>
    <w:pPr>
      <w:spacing w:before="160"/>
      <w:jc w:val="center"/>
    </w:pPr>
    <w:rPr>
      <w:i/>
      <w:iCs/>
      <w:color w:val="404040" w:themeColor="text1" w:themeTint="BF"/>
    </w:rPr>
  </w:style>
  <w:style w:type="character" w:customStyle="1" w:styleId="CittChar">
    <w:name w:val="Citát Char"/>
    <w:basedOn w:val="Standardnpsmoodstavce"/>
    <w:link w:val="Citt"/>
    <w:uiPriority w:val="29"/>
    <w:rsid w:val="00FB6E1C"/>
    <w:rPr>
      <w:i/>
      <w:iCs/>
      <w:color w:val="404040" w:themeColor="text1" w:themeTint="BF"/>
    </w:rPr>
  </w:style>
  <w:style w:type="paragraph" w:styleId="Odstavecseseznamem">
    <w:name w:val="List Paragraph"/>
    <w:basedOn w:val="Normln"/>
    <w:uiPriority w:val="34"/>
    <w:qFormat/>
    <w:rsid w:val="00FB6E1C"/>
    <w:pPr>
      <w:ind w:left="720"/>
      <w:contextualSpacing/>
    </w:pPr>
  </w:style>
  <w:style w:type="character" w:styleId="Zdraznnintenzivn">
    <w:name w:val="Intense Emphasis"/>
    <w:basedOn w:val="Standardnpsmoodstavce"/>
    <w:uiPriority w:val="21"/>
    <w:qFormat/>
    <w:rsid w:val="00FB6E1C"/>
    <w:rPr>
      <w:i/>
      <w:iCs/>
      <w:color w:val="0F4761" w:themeColor="accent1" w:themeShade="BF"/>
    </w:rPr>
  </w:style>
  <w:style w:type="paragraph" w:styleId="Vrazncitt">
    <w:name w:val="Intense Quote"/>
    <w:basedOn w:val="Normln"/>
    <w:next w:val="Normln"/>
    <w:link w:val="VrazncittChar"/>
    <w:uiPriority w:val="30"/>
    <w:qFormat/>
    <w:rsid w:val="00FB6E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B6E1C"/>
    <w:rPr>
      <w:i/>
      <w:iCs/>
      <w:color w:val="0F4761" w:themeColor="accent1" w:themeShade="BF"/>
    </w:rPr>
  </w:style>
  <w:style w:type="character" w:styleId="Odkazintenzivn">
    <w:name w:val="Intense Reference"/>
    <w:basedOn w:val="Standardnpsmoodstavce"/>
    <w:uiPriority w:val="32"/>
    <w:qFormat/>
    <w:rsid w:val="00FB6E1C"/>
    <w:rPr>
      <w:b/>
      <w:bCs/>
      <w:smallCaps/>
      <w:color w:val="0F4761" w:themeColor="accent1" w:themeShade="BF"/>
      <w:spacing w:val="5"/>
    </w:rPr>
  </w:style>
  <w:style w:type="character" w:styleId="Odkaznakoment">
    <w:name w:val="annotation reference"/>
    <w:basedOn w:val="Standardnpsmoodstavce"/>
    <w:uiPriority w:val="99"/>
    <w:semiHidden/>
    <w:unhideWhenUsed/>
    <w:rsid w:val="00660EC6"/>
    <w:rPr>
      <w:sz w:val="16"/>
      <w:szCs w:val="16"/>
    </w:rPr>
  </w:style>
  <w:style w:type="paragraph" w:styleId="Textkomente">
    <w:name w:val="annotation text"/>
    <w:basedOn w:val="Normln"/>
    <w:link w:val="TextkomenteChar"/>
    <w:uiPriority w:val="99"/>
    <w:unhideWhenUsed/>
    <w:rsid w:val="00660EC6"/>
    <w:pPr>
      <w:spacing w:line="240" w:lineRule="auto"/>
    </w:pPr>
    <w:rPr>
      <w:sz w:val="20"/>
      <w:szCs w:val="20"/>
    </w:rPr>
  </w:style>
  <w:style w:type="character" w:customStyle="1" w:styleId="TextkomenteChar">
    <w:name w:val="Text komentáře Char"/>
    <w:basedOn w:val="Standardnpsmoodstavce"/>
    <w:link w:val="Textkomente"/>
    <w:uiPriority w:val="99"/>
    <w:rsid w:val="00660EC6"/>
    <w:rPr>
      <w:sz w:val="20"/>
      <w:szCs w:val="20"/>
    </w:rPr>
  </w:style>
  <w:style w:type="paragraph" w:styleId="Pedmtkomente">
    <w:name w:val="annotation subject"/>
    <w:basedOn w:val="Textkomente"/>
    <w:next w:val="Textkomente"/>
    <w:link w:val="PedmtkomenteChar"/>
    <w:uiPriority w:val="99"/>
    <w:semiHidden/>
    <w:unhideWhenUsed/>
    <w:rsid w:val="00660EC6"/>
    <w:rPr>
      <w:b/>
      <w:bCs/>
    </w:rPr>
  </w:style>
  <w:style w:type="character" w:customStyle="1" w:styleId="PedmtkomenteChar">
    <w:name w:val="Předmět komentáře Char"/>
    <w:basedOn w:val="TextkomenteChar"/>
    <w:link w:val="Pedmtkomente"/>
    <w:uiPriority w:val="99"/>
    <w:semiHidden/>
    <w:rsid w:val="00660EC6"/>
    <w:rPr>
      <w:b/>
      <w:bCs/>
      <w:sz w:val="20"/>
      <w:szCs w:val="20"/>
    </w:rPr>
  </w:style>
  <w:style w:type="paragraph" w:styleId="Revize">
    <w:name w:val="Revision"/>
    <w:hidden/>
    <w:uiPriority w:val="99"/>
    <w:semiHidden/>
    <w:rsid w:val="005207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5008">
      <w:bodyDiv w:val="1"/>
      <w:marLeft w:val="0"/>
      <w:marRight w:val="0"/>
      <w:marTop w:val="0"/>
      <w:marBottom w:val="0"/>
      <w:divBdr>
        <w:top w:val="none" w:sz="0" w:space="0" w:color="auto"/>
        <w:left w:val="none" w:sz="0" w:space="0" w:color="auto"/>
        <w:bottom w:val="none" w:sz="0" w:space="0" w:color="auto"/>
        <w:right w:val="none" w:sz="0" w:space="0" w:color="auto"/>
      </w:divBdr>
    </w:div>
    <w:div w:id="176191760">
      <w:bodyDiv w:val="1"/>
      <w:marLeft w:val="0"/>
      <w:marRight w:val="0"/>
      <w:marTop w:val="0"/>
      <w:marBottom w:val="0"/>
      <w:divBdr>
        <w:top w:val="none" w:sz="0" w:space="0" w:color="auto"/>
        <w:left w:val="none" w:sz="0" w:space="0" w:color="auto"/>
        <w:bottom w:val="none" w:sz="0" w:space="0" w:color="auto"/>
        <w:right w:val="none" w:sz="0" w:space="0" w:color="auto"/>
      </w:divBdr>
    </w:div>
    <w:div w:id="457534321">
      <w:bodyDiv w:val="1"/>
      <w:marLeft w:val="0"/>
      <w:marRight w:val="0"/>
      <w:marTop w:val="0"/>
      <w:marBottom w:val="0"/>
      <w:divBdr>
        <w:top w:val="none" w:sz="0" w:space="0" w:color="auto"/>
        <w:left w:val="none" w:sz="0" w:space="0" w:color="auto"/>
        <w:bottom w:val="none" w:sz="0" w:space="0" w:color="auto"/>
        <w:right w:val="none" w:sz="0" w:space="0" w:color="auto"/>
      </w:divBdr>
    </w:div>
    <w:div w:id="854726763">
      <w:bodyDiv w:val="1"/>
      <w:marLeft w:val="0"/>
      <w:marRight w:val="0"/>
      <w:marTop w:val="0"/>
      <w:marBottom w:val="0"/>
      <w:divBdr>
        <w:top w:val="none" w:sz="0" w:space="0" w:color="auto"/>
        <w:left w:val="none" w:sz="0" w:space="0" w:color="auto"/>
        <w:bottom w:val="none" w:sz="0" w:space="0" w:color="auto"/>
        <w:right w:val="none" w:sz="0" w:space="0" w:color="auto"/>
      </w:divBdr>
    </w:div>
    <w:div w:id="1528252037">
      <w:bodyDiv w:val="1"/>
      <w:marLeft w:val="0"/>
      <w:marRight w:val="0"/>
      <w:marTop w:val="0"/>
      <w:marBottom w:val="0"/>
      <w:divBdr>
        <w:top w:val="none" w:sz="0" w:space="0" w:color="auto"/>
        <w:left w:val="none" w:sz="0" w:space="0" w:color="auto"/>
        <w:bottom w:val="none" w:sz="0" w:space="0" w:color="auto"/>
        <w:right w:val="none" w:sz="0" w:space="0" w:color="auto"/>
      </w:divBdr>
    </w:div>
    <w:div w:id="1675569451">
      <w:bodyDiv w:val="1"/>
      <w:marLeft w:val="0"/>
      <w:marRight w:val="0"/>
      <w:marTop w:val="0"/>
      <w:marBottom w:val="0"/>
      <w:divBdr>
        <w:top w:val="none" w:sz="0" w:space="0" w:color="auto"/>
        <w:left w:val="none" w:sz="0" w:space="0" w:color="auto"/>
        <w:bottom w:val="none" w:sz="0" w:space="0" w:color="auto"/>
        <w:right w:val="none" w:sz="0" w:space="0" w:color="auto"/>
      </w:divBdr>
    </w:div>
    <w:div w:id="196924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764</Words>
  <Characters>4509</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Nová</dc:creator>
  <cp:lastModifiedBy>František Štross</cp:lastModifiedBy>
  <cp:revision>11</cp:revision>
  <dcterms:created xsi:type="dcterms:W3CDTF">2025-02-18T17:17:00Z</dcterms:created>
  <dcterms:modified xsi:type="dcterms:W3CDTF">2026-10-21T16:32:00Z</dcterms:modified>
</cp:coreProperties>
</file>