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icrosoft PhagsPa" w:hAnsi="Microsoft PhagsPa"/>
          <w:b/>
          <w:sz w:val="32"/>
        </w:rPr>
      </w:pPr>
      <w:r>
        <w:rPr>
          <w:rFonts w:ascii="Microsoft PhagsPa" w:hAnsi="Microsoft PhagsPa"/>
          <w:b/>
          <w:sz w:val="32"/>
        </w:rPr>
        <w:t>Šachový svaz ČR vyhlašuje grantové řízení</w:t>
      </w:r>
    </w:p>
    <w:p>
      <w:pPr>
        <w:pStyle w:val="Normal"/>
        <w:jc w:val="center"/>
        <w:rPr/>
      </w:pPr>
      <w:r>
        <w:rPr>
          <w:rFonts w:ascii="Microsoft PhagsPa" w:hAnsi="Microsoft PhagsPa"/>
          <w:b/>
          <w:sz w:val="32"/>
        </w:rPr>
        <w:t>‚</w:t>
      </w:r>
      <w:r>
        <w:rPr>
          <w:rFonts w:ascii="Microsoft PhagsPa" w:hAnsi="Microsoft PhagsPa"/>
          <w:b/>
          <w:sz w:val="32"/>
        </w:rPr>
        <w:t>,Popularizace šachu 2025‘‘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Cíl projektu: </w:t>
      </w:r>
    </w:p>
    <w:p>
      <w:pPr>
        <w:pStyle w:val="Normal"/>
        <w:jc w:val="both"/>
        <w:rPr>
          <w:rFonts w:ascii="Calibri" w:hAnsi="Calibri"/>
        </w:rPr>
      </w:pPr>
      <w:r>
        <w:rPr/>
        <w:t xml:space="preserve">Propagovat šachy tak, aby se dostaly do podvědomí široké veřejnosti. Umožnit lidem královskou hrou nepolíbené, aby si zkusili zahrát šachy, dostali chuť naučit se pravidla této krásné hry a odměnou za to vše pro pořadatele třeba začali navštěvovat Váš šachový oddíl. Cílem projektu je tedy zviditelnit a umožnit veřejnosti hrát šachy. Prioritou jsou projekty déletrvajícího charakteru s dalším potenciálním růstem.  </w:t>
      </w:r>
    </w:p>
    <w:p>
      <w:pPr>
        <w:pStyle w:val="Normal"/>
        <w:jc w:val="center"/>
        <w:rPr>
          <w:rFonts w:ascii="Calibri" w:hAnsi="Calibri"/>
          <w:i/>
          <w:i/>
        </w:rPr>
      </w:pPr>
      <w:r>
        <w:rPr>
          <w:i/>
        </w:rPr>
        <w:t>Motto: Kdekoliv se podívám, šachy mohou se hrát. Park, letiště, nemocnice či vlak, překážkou však není ani hrad. Hrajme šachy, kde se dá, je to přece hra královská!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Kdo může o grant zažádat: </w:t>
      </w:r>
    </w:p>
    <w:p>
      <w:pPr>
        <w:pStyle w:val="Normal"/>
        <w:jc w:val="both"/>
        <w:rPr>
          <w:rFonts w:ascii="Calibri" w:hAnsi="Calibri"/>
        </w:rPr>
      </w:pPr>
      <w:r>
        <w:rPr/>
        <w:t xml:space="preserve">Grant mohou získat právnické či fyzické osoby, jejichž snahou je vyvolat veřejný zájem o šach a zvýšit povědomí o jeho existenci. O grant se mohou ucházet projekty, které byly či budou realizovány v průběhu roku 2025.  Žádající subjekt může podat pouze jednu žádost o grant. </w:t>
      </w:r>
    </w:p>
    <w:p>
      <w:pPr>
        <w:pStyle w:val="Normal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Výše grantového příspěvku: </w:t>
      </w:r>
    </w:p>
    <w:p>
      <w:pPr>
        <w:pStyle w:val="Normal"/>
        <w:jc w:val="both"/>
        <w:rPr>
          <w:rFonts w:ascii="Calibri" w:hAnsi="Calibri"/>
        </w:rPr>
      </w:pPr>
      <w:r>
        <w:rPr/>
        <w:t>Minimální ani maximální výše grantového příspěvku není určena. Grant může dosáhnout maximálně částky odpovídající 50 % celkových nákladů projektu.</w:t>
      </w:r>
    </w:p>
    <w:p>
      <w:pPr>
        <w:pStyle w:val="Normal"/>
        <w:jc w:val="both"/>
        <w:rPr>
          <w:rFonts w:ascii="Calibri" w:hAnsi="Calibri"/>
          <w:b/>
          <w:sz w:val="24"/>
        </w:rPr>
      </w:pPr>
      <w:r>
        <w:rPr>
          <w:b/>
          <w:sz w:val="24"/>
        </w:rPr>
        <w:t>Příjem žádostí:</w:t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Uzávěrka grantového řízení </w:t>
      </w:r>
      <w:r>
        <w:rPr>
          <w:b/>
        </w:rPr>
        <w:t>je  2</w:t>
      </w:r>
      <w:r>
        <w:rPr>
          <w:b/>
        </w:rPr>
        <w:t>0</w:t>
      </w:r>
      <w:r>
        <w:rPr>
          <w:b/>
        </w:rPr>
        <w:t>.4. 2025 ve 24:00</w:t>
      </w:r>
      <w:r>
        <w:rPr/>
        <w:t>.</w:t>
      </w:r>
    </w:p>
    <w:p>
      <w:pPr>
        <w:pStyle w:val="NoSpacing"/>
        <w:numPr>
          <w:ilvl w:val="0"/>
          <w:numId w:val="1"/>
        </w:numPr>
        <w:rPr/>
      </w:pPr>
      <w:r>
        <w:rPr/>
        <w:t xml:space="preserve">Formulář žádosti naleznete na webu </w:t>
      </w:r>
      <w:hyperlink r:id="rId2">
        <w:r>
          <w:rPr>
            <w:rStyle w:val="Hyperlink"/>
          </w:rPr>
          <w:t>www.chess.cz</w:t>
        </w:r>
      </w:hyperlink>
    </w:p>
    <w:p>
      <w:pPr>
        <w:pStyle w:val="NoSpacing"/>
        <w:numPr>
          <w:ilvl w:val="0"/>
          <w:numId w:val="1"/>
        </w:numPr>
        <w:rPr/>
      </w:pPr>
      <w:r>
        <w:rPr/>
        <w:t xml:space="preserve">Vyplněnou žádost, prosím, zasílejte na adresu </w:t>
      </w:r>
      <w:hyperlink r:id="rId3">
        <w:r>
          <w:rPr>
            <w:rStyle w:val="Hyperlink"/>
          </w:rPr>
          <w:t>kmk@chess.cz</w:t>
        </w:r>
      </w:hyperlink>
    </w:p>
    <w:p>
      <w:pPr>
        <w:pStyle w:val="NoSpacing"/>
        <w:ind w:hanging="0" w:left="720"/>
        <w:rPr/>
      </w:pPr>
      <w:r>
        <w:rPr/>
      </w:r>
    </w:p>
    <w:p>
      <w:pPr>
        <w:pStyle w:val="Normal"/>
        <w:jc w:val="both"/>
        <w:rPr>
          <w:rFonts w:ascii="Calibri" w:hAnsi="Calibri"/>
          <w:b/>
        </w:rPr>
      </w:pPr>
      <w:r>
        <w:rPr>
          <w:b/>
        </w:rPr>
        <w:t>Hodnocení žádostí:</w:t>
      </w:r>
    </w:p>
    <w:p>
      <w:pPr>
        <w:pStyle w:val="NoSpacing"/>
        <w:jc w:val="both"/>
        <w:rPr/>
      </w:pPr>
      <w:r>
        <w:rPr/>
        <w:t xml:space="preserve">Žádosti zaslané po termínu uzávěrky nebudou přijaty do grantového řízení. Žádost musí být zaslána na předepsaném formuláři ve formátu PDF, kompletně vyplněná včetně podpisu, u právnických subjektů i včetně razítka. V případě nedodržení všech administrativních náležitostí Žádosti o grant nebude tato přijata, dále žádosti nejasné budou z grantového řízení vyřazeny.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rPr>
          <w:b/>
        </w:rPr>
      </w:pPr>
      <w:r>
        <w:rPr>
          <w:b/>
        </w:rPr>
        <w:t>Žádosti zhodnotí komise ve složení:</w:t>
      </w:r>
    </w:p>
    <w:p>
      <w:pPr>
        <w:pStyle w:val="NoSpacing"/>
        <w:numPr>
          <w:ilvl w:val="0"/>
          <w:numId w:val="2"/>
        </w:numPr>
        <w:rPr/>
      </w:pPr>
      <w:r>
        <w:rPr/>
        <w:t>Ing. Josef Bednařík  – Předseda KMK ŠSČR</w:t>
      </w:r>
    </w:p>
    <w:p>
      <w:pPr>
        <w:pStyle w:val="NoSpacing"/>
        <w:numPr>
          <w:ilvl w:val="0"/>
          <w:numId w:val="2"/>
        </w:numPr>
        <w:rPr/>
      </w:pPr>
      <w:r>
        <w:rPr/>
        <w:t>Mgr. Lenka Kůsová – člen KMK ŠSČR</w:t>
      </w:r>
    </w:p>
    <w:p>
      <w:pPr>
        <w:pStyle w:val="NoSpacing"/>
        <w:numPr>
          <w:ilvl w:val="0"/>
          <w:numId w:val="2"/>
        </w:numPr>
        <w:rPr/>
      </w:pPr>
      <w:r>
        <w:rPr/>
        <w:t>Tomáš Galda – člen KMK ŠSČR</w:t>
      </w:r>
    </w:p>
    <w:p>
      <w:pPr>
        <w:pStyle w:val="ListParagraph"/>
        <w:ind w:hanging="0" w:left="1440"/>
        <w:jc w:val="both"/>
        <w:rPr>
          <w:rFonts w:ascii="Calibri" w:hAnsi="Calibri"/>
        </w:rPr>
      </w:pPr>
      <w:r>
        <w:rPr/>
      </w:r>
    </w:p>
    <w:p>
      <w:pPr>
        <w:pStyle w:val="Normal"/>
        <w:jc w:val="both"/>
        <w:rPr>
          <w:rFonts w:ascii="Calibri" w:hAnsi="Calibri"/>
        </w:rPr>
      </w:pPr>
      <w:r>
        <w:rPr/>
        <w:t>Všichni úspěšní žadatelé budou informování o výsledku a výši dotace, kterou obdrželi. Informováni budou také žadatelé neúspěšní. Vyhodnocení proběhne začátkem května 2025.</w:t>
      </w:r>
    </w:p>
    <w:p>
      <w:pPr>
        <w:pStyle w:val="Normal"/>
        <w:jc w:val="both"/>
        <w:rPr>
          <w:rFonts w:ascii="Calibri" w:hAnsi="Calibri"/>
          <w:b/>
        </w:rPr>
      </w:pPr>
      <w:r>
        <w:rPr>
          <w:b/>
        </w:rPr>
        <w:t>Vybrány k podpoře budou zejména:</w:t>
      </w:r>
    </w:p>
    <w:p>
      <w:pPr>
        <w:pStyle w:val="NoSpacing"/>
        <w:numPr>
          <w:ilvl w:val="0"/>
          <w:numId w:val="3"/>
        </w:numPr>
        <w:rPr/>
      </w:pPr>
      <w:r>
        <w:rPr/>
        <w:t>projekty podporující veřejné povědomí o šachu</w:t>
      </w:r>
    </w:p>
    <w:p>
      <w:pPr>
        <w:pStyle w:val="ListParagraph"/>
        <w:numPr>
          <w:ilvl w:val="0"/>
          <w:numId w:val="3"/>
        </w:numPr>
        <w:rPr/>
      </w:pPr>
      <w:r>
        <w:rPr/>
        <w:t>projekty zapojující veřejnost do šachového dění</w:t>
      </w:r>
    </w:p>
    <w:p>
      <w:pPr>
        <w:pStyle w:val="ListParagraph"/>
        <w:numPr>
          <w:ilvl w:val="0"/>
          <w:numId w:val="3"/>
        </w:numPr>
        <w:rPr/>
      </w:pPr>
      <w:r>
        <w:rPr/>
        <w:t>projekty zaměřené na Mezinárodní den šachu (20.7.)</w:t>
      </w:r>
    </w:p>
    <w:p>
      <w:pPr>
        <w:pStyle w:val="Normal"/>
        <w:rPr>
          <w:b/>
        </w:rPr>
      </w:pPr>
      <w:r>
        <w:rPr>
          <w:b/>
        </w:rPr>
        <w:t>Upřednostněny budou projekty, které prokáží:</w:t>
      </w:r>
    </w:p>
    <w:p>
      <w:pPr>
        <w:pStyle w:val="NoSpacing"/>
        <w:numPr>
          <w:ilvl w:val="0"/>
          <w:numId w:val="4"/>
        </w:numPr>
        <w:rPr/>
      </w:pPr>
      <w:r>
        <w:rPr/>
        <w:t>míru aktivního zapojení veřejnosti do projektu</w:t>
      </w:r>
    </w:p>
    <w:p>
      <w:pPr>
        <w:pStyle w:val="NoSpacing"/>
        <w:numPr>
          <w:ilvl w:val="0"/>
          <w:numId w:val="4"/>
        </w:numPr>
        <w:rPr/>
      </w:pPr>
      <w:r>
        <w:rPr/>
        <w:t>realizovatelnost projektu a přiměřenost rozpočtu</w:t>
      </w:r>
    </w:p>
    <w:p>
      <w:pPr>
        <w:pStyle w:val="ListParagraph"/>
        <w:numPr>
          <w:ilvl w:val="0"/>
          <w:numId w:val="4"/>
        </w:numPr>
        <w:rPr/>
      </w:pPr>
      <w:r>
        <w:rPr/>
        <w:t>udržitelnost projektu v budoucnosti</w:t>
      </w:r>
    </w:p>
    <w:p>
      <w:pPr>
        <w:pStyle w:val="Normal"/>
        <w:jc w:val="both"/>
        <w:rPr>
          <w:rFonts w:ascii="Calibri" w:hAnsi="Calibri"/>
          <w:b/>
        </w:rPr>
      </w:pPr>
      <w:r>
        <w:rPr>
          <w:b/>
        </w:rPr>
        <w:t>Proplacení grantu:</w:t>
      </w:r>
    </w:p>
    <w:p>
      <w:pPr>
        <w:pStyle w:val="NoSpacing"/>
        <w:numPr>
          <w:ilvl w:val="0"/>
          <w:numId w:val="4"/>
        </w:numPr>
        <w:rPr/>
      </w:pPr>
      <w:r>
        <w:rPr>
          <w:b w:val="false"/>
          <w:bCs w:val="false"/>
        </w:rPr>
        <w:t xml:space="preserve">Fyzická </w:t>
      </w:r>
      <w:r>
        <w:rPr/>
        <w:t xml:space="preserve">nebo právnická osoba, která dostane příspěvek na projekt, zašle nejpozději 30 dnů před konáním akce propozice na email </w:t>
      </w:r>
      <w:hyperlink r:id="rId4">
        <w:r>
          <w:rPr>
            <w:rStyle w:val="Hyperlink"/>
          </w:rPr>
          <w:t>kmk@chess.cz</w:t>
        </w:r>
      </w:hyperlink>
      <w:r>
        <w:rPr/>
        <w:t xml:space="preserve"> k uveřejnění v kalendáři akcí na chess.cz. </w:t>
      </w:r>
    </w:p>
    <w:p>
      <w:pPr>
        <w:pStyle w:val="NoSpacing"/>
        <w:numPr>
          <w:ilvl w:val="0"/>
          <w:numId w:val="4"/>
        </w:numPr>
        <w:rPr/>
      </w:pPr>
      <w:r>
        <w:rPr/>
        <w:t xml:space="preserve">Fyzická nebo právnická osoba zašle do 7 dnů po uskutečnění akce článek o podpořené akci/projektu, který bude obsahovat také fotodokumentaci akce a to vše ve formátu DOC, PDF o maximální velikosti emailu do 10MB na email </w:t>
      </w:r>
      <w:hyperlink r:id="rId5">
        <w:r>
          <w:rPr>
            <w:rStyle w:val="Hyperlink"/>
          </w:rPr>
          <w:t>kmk@chess.cz</w:t>
        </w:r>
      </w:hyperlink>
      <w:r>
        <w:rPr/>
        <w:t xml:space="preserve">. </w:t>
      </w:r>
    </w:p>
    <w:p>
      <w:pPr>
        <w:pStyle w:val="NoSpacing"/>
        <w:numPr>
          <w:ilvl w:val="0"/>
          <w:numId w:val="4"/>
        </w:numPr>
        <w:rPr/>
      </w:pPr>
      <w:r>
        <w:rPr/>
        <w:t xml:space="preserve">Fyzická nebo právnická osoba zašle do 14 dnů po realizaci podpořené akce fakturu na </w:t>
      </w:r>
      <w:r>
        <w:rPr>
          <w:rStyle w:val="Hyperlink"/>
        </w:rPr>
        <w:t>kmk@chess.cz</w:t>
      </w:r>
    </w:p>
    <w:p>
      <w:pPr>
        <w:pStyle w:val="NoSpacing"/>
        <w:numPr>
          <w:ilvl w:val="0"/>
          <w:numId w:val="4"/>
        </w:numPr>
        <w:rPr/>
      </w:pPr>
      <w:r>
        <w:rPr>
          <w:b w:val="false"/>
          <w:bCs w:val="false"/>
          <w:sz w:val="24"/>
        </w:rPr>
        <w:t xml:space="preserve">Výjimkou jsou akce realizované před vyhodnocením grantu. V případě podpoření této akce zašle žadatel článek a fakturu do 14 dní od seznámení s podporou akce.   </w:t>
      </w:r>
    </w:p>
    <w:p>
      <w:pPr>
        <w:pStyle w:val="NoSpacing"/>
        <w:numPr>
          <w:ilvl w:val="0"/>
          <w:numId w:val="4"/>
        </w:numPr>
        <w:rPr/>
      </w:pPr>
      <w:r>
        <w:rPr/>
        <w:t>Pořadatelé akcí realizovaných v prosince zašlou mediální výstupy a fakturu nejpozději do konce roku, tj. do 31.12. 2025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Cs/>
        </w:rPr>
      </w:pPr>
      <w:r>
        <w:rPr>
          <w:b/>
          <w:bCs/>
        </w:rPr>
        <w:t xml:space="preserve">Formuláře: </w:t>
      </w:r>
    </w:p>
    <w:p>
      <w:pPr>
        <w:pStyle w:val="NoSpacing"/>
        <w:rPr>
          <w:b/>
          <w:bCs/>
        </w:rPr>
      </w:pPr>
      <w:r>
        <w:rPr>
          <w:b/>
          <w:bCs/>
        </w:rPr>
      </w:r>
    </w:p>
    <w:p>
      <w:pPr>
        <w:pStyle w:val="NoSpacing"/>
        <w:numPr>
          <w:ilvl w:val="0"/>
          <w:numId w:val="3"/>
        </w:numPr>
        <w:rPr/>
      </w:pPr>
      <w:r>
        <w:rPr/>
        <w:t>Žádost o grantový příspěvek</w:t>
      </w:r>
    </w:p>
    <w:p>
      <w:pPr>
        <w:pStyle w:val="NoSpacing"/>
        <w:numPr>
          <w:ilvl w:val="0"/>
          <w:numId w:val="3"/>
        </w:numPr>
        <w:rPr/>
      </w:pPr>
      <w:r>
        <w:rPr/>
        <w:t>Čestné prohlášení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both"/>
        <w:rPr>
          <w:rFonts w:ascii="Calibri" w:hAnsi="Calibri"/>
        </w:rPr>
      </w:pPr>
      <w:r>
        <w:rPr/>
        <w:t xml:space="preserve">V případě nedodržení podmínek – viz. všechny body výše uvedené, zaniká žadateli nárok na čerpání dotace.  </w:t>
      </w:r>
    </w:p>
    <w:p>
      <w:pPr>
        <w:pStyle w:val="Normal"/>
        <w:jc w:val="both"/>
        <w:rPr>
          <w:rFonts w:ascii="Calibri" w:hAnsi="Calibri"/>
        </w:rPr>
      </w:pPr>
      <w:r>
        <w:rPr/>
        <w:t>Na přidělení grantu nemá žadatel právní nárok.</w:t>
      </w:r>
    </w:p>
    <w:p>
      <w:pPr>
        <w:pStyle w:val="Normal"/>
        <w:jc w:val="both"/>
        <w:rPr/>
      </w:pPr>
      <w:r>
        <w:rPr>
          <w:b/>
        </w:rPr>
        <w:t>Kontaktní osoba pro případné konzultace:</w:t>
      </w:r>
      <w:r>
        <w:rPr/>
        <w:t xml:space="preserve"> Mgr. Lenka Kůsová, tel. 608 568 548, </w:t>
      </w:r>
      <w:hyperlink r:id="rId6">
        <w:r>
          <w:rPr>
            <w:rStyle w:val="Hyperlink"/>
          </w:rPr>
          <w:t>kmk@chess.cz</w:t>
        </w:r>
      </w:hyperlink>
    </w:p>
    <w:p>
      <w:pPr>
        <w:pStyle w:val="Normal"/>
        <w:spacing w:before="0" w:after="200"/>
        <w:jc w:val="right"/>
        <w:rPr>
          <w:rFonts w:ascii="Calibri" w:hAnsi="Calibri"/>
        </w:rPr>
      </w:pPr>
      <w:r>
        <w:rPr/>
      </w:r>
    </w:p>
    <w:p>
      <w:pPr>
        <w:pStyle w:val="Normal"/>
        <w:spacing w:before="0" w:after="200"/>
        <w:jc w:val="right"/>
        <w:rPr>
          <w:rFonts w:ascii="Calibri" w:hAnsi="Calibri"/>
        </w:rPr>
      </w:pPr>
      <w:r>
        <w:rPr/>
        <w:t>KMK ŠSČR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7" w:right="1417" w:gutter="0" w:header="0" w:top="14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Microsoft PhagsP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3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4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>
    <w:name w:val="Default Paragraph Font"/>
    <w:qFormat/>
    <w:rPr/>
  </w:style>
  <w:style w:type="character" w:styleId="ZhlavChar">
    <w:name w:val="Záhlaví Char"/>
    <w:basedOn w:val="DefaultParagraphFont"/>
    <w:qFormat/>
    <w:rPr/>
  </w:style>
  <w:style w:type="character" w:styleId="ZpatChar">
    <w:name w:val="Zápatí Char"/>
    <w:basedOn w:val="DefaultParagraphFont"/>
    <w:qFormat/>
    <w:rPr/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ss.cz/" TargetMode="External"/><Relationship Id="rId3" Type="http://schemas.openxmlformats.org/officeDocument/2006/relationships/hyperlink" Target="mailto:kmk@chess.cz" TargetMode="External"/><Relationship Id="rId4" Type="http://schemas.openxmlformats.org/officeDocument/2006/relationships/hyperlink" Target="mailto:kmk@chess.cz" TargetMode="External"/><Relationship Id="rId5" Type="http://schemas.openxmlformats.org/officeDocument/2006/relationships/hyperlink" Target="mailto:kmk@chess.cz" TargetMode="External"/><Relationship Id="rId6" Type="http://schemas.openxmlformats.org/officeDocument/2006/relationships/hyperlink" Target="mailto:kmk@chess.cz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Application>LibreOffice/24.2.0.3$Windows_X86_64 LibreOffice_project/da48488a73ddd66ea24cf16bbc4f7b9c08e9bea1</Application>
  <AppVersion>15.0000</AppVersion>
  <Pages>2</Pages>
  <Words>521</Words>
  <Characters>2995</Characters>
  <CharactersWithSpaces>3478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2021-02-02T13:43:00Z</dcterms:created>
  <dc:creator>Pavel</dc:creator>
  <dc:description/>
  <dc:language>cs-CZ</dc:language>
  <cp:lastModifiedBy/>
  <cp:lastPrinted>2015-03-31T09:55:00Z</cp:lastPrinted>
  <dcterms:modified xsi:type="dcterms:W3CDTF">2025-03-17T16:02:00Z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