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0786" w14:textId="77777777" w:rsidR="00F83BCC" w:rsidRPr="00A915D9" w:rsidRDefault="00F83BCC" w:rsidP="00F83BCC">
      <w:pPr>
        <w:pStyle w:val="Nzev"/>
        <w:rPr>
          <w:rFonts w:asciiTheme="minorHAnsi" w:hAnsiTheme="minorHAnsi" w:cstheme="minorHAnsi"/>
          <w:sz w:val="24"/>
          <w:szCs w:val="24"/>
        </w:rPr>
      </w:pPr>
    </w:p>
    <w:p w14:paraId="5BB054F5" w14:textId="595A9A82" w:rsidR="006B63B5" w:rsidRPr="00A915D9" w:rsidRDefault="006B63B5" w:rsidP="006B63B5">
      <w:pPr>
        <w:pStyle w:val="Nzev"/>
        <w:rPr>
          <w:rFonts w:asciiTheme="minorHAnsi" w:hAnsiTheme="minorHAnsi" w:cstheme="minorHAnsi"/>
          <w:sz w:val="28"/>
          <w:szCs w:val="28"/>
          <w:lang w:val="cs-CZ"/>
        </w:rPr>
      </w:pPr>
      <w:r w:rsidRPr="00A915D9">
        <w:rPr>
          <w:rFonts w:asciiTheme="minorHAnsi" w:hAnsiTheme="minorHAnsi" w:cstheme="minorHAnsi"/>
          <w:sz w:val="28"/>
          <w:szCs w:val="28"/>
        </w:rPr>
        <w:t xml:space="preserve">Jednací řád </w:t>
      </w:r>
      <w:r>
        <w:rPr>
          <w:rFonts w:asciiTheme="minorHAnsi" w:hAnsiTheme="minorHAnsi" w:cstheme="minorHAnsi"/>
          <w:sz w:val="28"/>
          <w:szCs w:val="28"/>
        </w:rPr>
        <w:t>Konferenc</w:t>
      </w:r>
      <w:r w:rsidRPr="00A915D9">
        <w:rPr>
          <w:rFonts w:asciiTheme="minorHAnsi" w:hAnsiTheme="minorHAnsi" w:cstheme="minorHAnsi"/>
          <w:sz w:val="28"/>
          <w:szCs w:val="28"/>
        </w:rPr>
        <w:t>e ŠSČR 202</w:t>
      </w:r>
      <w:r w:rsidR="00A42BB1">
        <w:rPr>
          <w:rFonts w:asciiTheme="minorHAnsi" w:hAnsiTheme="minorHAnsi" w:cstheme="minorHAnsi"/>
          <w:sz w:val="28"/>
          <w:szCs w:val="28"/>
          <w:lang w:val="cs-CZ"/>
        </w:rPr>
        <w:t>5</w:t>
      </w:r>
    </w:p>
    <w:p w14:paraId="16B83451" w14:textId="5BFD5EE3" w:rsidR="006B63B5" w:rsidRPr="00A915D9" w:rsidRDefault="006B63B5" w:rsidP="006B63B5">
      <w:pPr>
        <w:pStyle w:val="Nzev"/>
        <w:rPr>
          <w:rFonts w:asciiTheme="minorHAnsi" w:hAnsiTheme="minorHAnsi" w:cstheme="minorHAnsi"/>
          <w:sz w:val="28"/>
          <w:szCs w:val="28"/>
        </w:rPr>
      </w:pPr>
      <w:r w:rsidRPr="00A915D9">
        <w:rPr>
          <w:rFonts w:asciiTheme="minorHAnsi" w:hAnsiTheme="minorHAnsi" w:cstheme="minorHAnsi"/>
          <w:sz w:val="28"/>
          <w:szCs w:val="28"/>
        </w:rPr>
        <w:t>2</w:t>
      </w:r>
      <w:r w:rsidR="00A42BB1">
        <w:rPr>
          <w:rFonts w:asciiTheme="minorHAnsi" w:hAnsiTheme="minorHAnsi" w:cstheme="minorHAnsi"/>
          <w:sz w:val="28"/>
          <w:szCs w:val="28"/>
          <w:lang w:val="cs-CZ"/>
        </w:rPr>
        <w:t>2</w:t>
      </w:r>
      <w:r w:rsidRPr="00A915D9">
        <w:rPr>
          <w:rFonts w:asciiTheme="minorHAnsi" w:hAnsiTheme="minorHAnsi" w:cstheme="minorHAnsi"/>
          <w:sz w:val="28"/>
          <w:szCs w:val="28"/>
        </w:rPr>
        <w:t xml:space="preserve">. </w:t>
      </w:r>
      <w:r w:rsidR="00A42BB1">
        <w:rPr>
          <w:rFonts w:asciiTheme="minorHAnsi" w:hAnsiTheme="minorHAnsi" w:cstheme="minorHAnsi"/>
          <w:sz w:val="28"/>
          <w:szCs w:val="28"/>
          <w:lang w:val="cs-CZ"/>
        </w:rPr>
        <w:t>3</w:t>
      </w:r>
      <w:r w:rsidRPr="00A915D9">
        <w:rPr>
          <w:rFonts w:asciiTheme="minorHAnsi" w:hAnsiTheme="minorHAnsi" w:cstheme="minorHAnsi"/>
          <w:sz w:val="28"/>
          <w:szCs w:val="28"/>
        </w:rPr>
        <w:t>. 202</w:t>
      </w:r>
      <w:r w:rsidR="00A42BB1">
        <w:rPr>
          <w:rFonts w:asciiTheme="minorHAnsi" w:hAnsiTheme="minorHAnsi" w:cstheme="minorHAnsi"/>
          <w:sz w:val="28"/>
          <w:szCs w:val="28"/>
          <w:lang w:val="cs-CZ"/>
        </w:rPr>
        <w:t>5</w:t>
      </w:r>
      <w:r w:rsidRPr="00A915D9">
        <w:rPr>
          <w:rFonts w:asciiTheme="minorHAnsi" w:hAnsiTheme="minorHAnsi" w:cstheme="minorHAnsi"/>
          <w:sz w:val="28"/>
          <w:szCs w:val="28"/>
        </w:rPr>
        <w:t xml:space="preserve"> v</w:t>
      </w:r>
      <w:r>
        <w:rPr>
          <w:rFonts w:asciiTheme="minorHAnsi" w:hAnsiTheme="minorHAnsi" w:cstheme="minorHAnsi"/>
          <w:sz w:val="28"/>
          <w:szCs w:val="28"/>
        </w:rPr>
        <w:t> </w:t>
      </w:r>
      <w:r>
        <w:rPr>
          <w:rFonts w:asciiTheme="minorHAnsi" w:hAnsiTheme="minorHAnsi" w:cstheme="minorHAnsi"/>
          <w:sz w:val="28"/>
          <w:szCs w:val="28"/>
          <w:lang w:val="cs-CZ"/>
        </w:rPr>
        <w:t xml:space="preserve">hotelu </w:t>
      </w:r>
      <w:r w:rsidR="00A42BB1">
        <w:rPr>
          <w:rFonts w:asciiTheme="minorHAnsi" w:hAnsiTheme="minorHAnsi" w:cstheme="minorHAnsi"/>
          <w:sz w:val="28"/>
          <w:szCs w:val="28"/>
          <w:lang w:val="cs-CZ"/>
        </w:rPr>
        <w:t>Zruč ve Zruči nad Sázavou</w:t>
      </w:r>
    </w:p>
    <w:p w14:paraId="5738EF97" w14:textId="77777777" w:rsidR="00F83BCC" w:rsidRPr="00A915D9" w:rsidRDefault="00F83BCC" w:rsidP="00F83BCC">
      <w:pPr>
        <w:pStyle w:val="Nzev"/>
        <w:rPr>
          <w:rFonts w:asciiTheme="minorHAnsi" w:hAnsiTheme="minorHAnsi" w:cstheme="minorHAnsi"/>
          <w:sz w:val="24"/>
          <w:szCs w:val="24"/>
        </w:rPr>
      </w:pPr>
    </w:p>
    <w:p w14:paraId="3E4C4BF9" w14:textId="3CBC727D" w:rsidR="00F83BCC" w:rsidRPr="00A915D9" w:rsidRDefault="00F83BCC" w:rsidP="00F83BCC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Delegáti 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e Šachového svazu České republiky </w:t>
      </w:r>
      <w:r w:rsidR="00A42BB1">
        <w:rPr>
          <w:rFonts w:asciiTheme="minorHAnsi" w:hAnsiTheme="minorHAnsi" w:cstheme="minorHAnsi"/>
          <w:b/>
          <w:snapToGrid w:val="0"/>
          <w:sz w:val="24"/>
          <w:szCs w:val="24"/>
        </w:rPr>
        <w:t>22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. </w:t>
      </w:r>
      <w:r w:rsidR="00A42BB1">
        <w:rPr>
          <w:rFonts w:asciiTheme="minorHAnsi" w:hAnsiTheme="minorHAnsi" w:cstheme="minorHAnsi"/>
          <w:b/>
          <w:snapToGrid w:val="0"/>
          <w:sz w:val="24"/>
          <w:szCs w:val="24"/>
        </w:rPr>
        <w:t>3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>. 202</w:t>
      </w:r>
      <w:r w:rsidR="00A42BB1">
        <w:rPr>
          <w:rFonts w:asciiTheme="minorHAnsi" w:hAnsiTheme="minorHAnsi" w:cstheme="minorHAnsi"/>
          <w:b/>
          <w:snapToGrid w:val="0"/>
          <w:sz w:val="24"/>
          <w:szCs w:val="24"/>
        </w:rPr>
        <w:t>5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(dále jen 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>e)</w:t>
      </w:r>
    </w:p>
    <w:p w14:paraId="100B5A50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Delegáty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e s hlasem rozhodujícím se stávají delegáti zastupující krajské šachové svazy v počtu 1 delegát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z 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každých 300 registrovaných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osob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, minimálně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však 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3</w:t>
      </w:r>
      <w:r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delegáti za každý krajský šachový svaz, 2 delegáti zastupující Sdružení korespondenčního šachu v ČR a 2 delegáti Sdružení šachových problémistů ČR.</w:t>
      </w:r>
    </w:p>
    <w:p w14:paraId="1E947426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Jmenovitý seznam delegátů s hlasem rozhodujícím bude předložen při zahájení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e, každý z delegátů s hlasem rozhodujícím obdrží při zahájení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hlasovací lístek.</w:t>
      </w:r>
    </w:p>
    <w:p w14:paraId="40389B6A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Členové výkonného výboru ŠSČR, prezident ŠSČR a členové </w:t>
      </w:r>
      <w:r>
        <w:rPr>
          <w:rFonts w:asciiTheme="minorHAnsi" w:hAnsiTheme="minorHAnsi" w:cstheme="minorHAnsi"/>
          <w:snapToGrid w:val="0"/>
          <w:sz w:val="24"/>
          <w:szCs w:val="24"/>
        </w:rPr>
        <w:t>R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evizní komise ŠSČR, pokud nebyli zvoleni za delegáty s hlasem rozhodujícím, se stávají delegáty s hlasem poradním.</w:t>
      </w:r>
    </w:p>
    <w:p w14:paraId="56AF0188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Hosté mají na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i hlas poradní.</w:t>
      </w:r>
    </w:p>
    <w:p w14:paraId="12DA97F3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>Každý delegát a host má právo vystoupit v diskuzi, navrhovat členy pracovního předsednictva a jednotlivých komisí a předkládat pracovnímu předsednictvu a komisím písemné podněty a připomínky. Diskuzní příspěvek nemůže být delší než 5 minut. Technická připomínka a odpověď na otázku nemůže být delší než 2 minuty. O výjimce rozhoduje pracovní předsednictvo.</w:t>
      </w:r>
    </w:p>
    <w:p w14:paraId="6703FB13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Předsedající může diskutujícímu odebrat slovo v případech, kdy diskutující se zcela odchyluje od tématu nebo </w:t>
      </w:r>
      <w:r>
        <w:rPr>
          <w:rFonts w:asciiTheme="minorHAnsi" w:hAnsiTheme="minorHAnsi" w:cstheme="minorHAnsi"/>
          <w:snapToGrid w:val="0"/>
          <w:sz w:val="24"/>
          <w:szCs w:val="24"/>
        </w:rPr>
        <w:t>se vyjadřuje hrubým urážlivým způsobem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1EC3F1C7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Všichni účastníci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jsou povinni dbát pokynů pracovního předsednictva a předsedajícího.</w:t>
      </w:r>
    </w:p>
    <w:p w14:paraId="5E1F2C05" w14:textId="77777777" w:rsidR="00F83BCC" w:rsidRPr="00A915D9" w:rsidRDefault="00F83BCC" w:rsidP="00F83BCC">
      <w:pPr>
        <w:pStyle w:val="Nzev"/>
        <w:spacing w:after="120"/>
        <w:rPr>
          <w:rFonts w:asciiTheme="minorHAnsi" w:hAnsiTheme="minorHAnsi" w:cstheme="minorHAnsi"/>
          <w:sz w:val="24"/>
          <w:szCs w:val="24"/>
        </w:rPr>
      </w:pPr>
    </w:p>
    <w:p w14:paraId="6CE895A7" w14:textId="77777777" w:rsidR="00F83BCC" w:rsidRPr="00A915D9" w:rsidRDefault="00F83BCC" w:rsidP="00F83BCC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>Pracovní předsednictvo</w:t>
      </w:r>
    </w:p>
    <w:p w14:paraId="31C21FB4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Jednání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řídí pětičlenné pracovní předsednictvo.</w:t>
      </w:r>
    </w:p>
    <w:p w14:paraId="7F4715ED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O návrhu na členy pracovního předsednictva hlasují delegáti s hlasem rozhodujícím veřejným hlasováním. Ke zvolení pracovního předsednictva stačí nadpoloviční většina hlasů přítomných delegátů s hlasem rozhodujícím. Je-li navrženo více než 5 osob, hlasuje se o členech jednotlivě a o členství v pracovním předsednictvu rozhoduje vyšší počet hlasů. V případě rovnosti hlasů na pátém místě rozhodne o dalším postupu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e.</w:t>
      </w:r>
    </w:p>
    <w:p w14:paraId="6521279F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lastRenderedPageBreak/>
        <w:t xml:space="preserve">Pracovní předsednictvo zvolí ze svých členů předsedajícího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e. Předsedajícím je zvolen ten, kdo získá nejvíce hlasů členů pracovního předsednictva.</w:t>
      </w:r>
    </w:p>
    <w:p w14:paraId="43F9E8C9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Předsedající uděluje a odnímá slovo jednotlivým delegátům a vykonává rozhodnutí pracovního předsednictva potřebná k zajištění racionálního průběhu jednání. Pokud diskutující nesouhlasí s rozhodnutím pracovního předsednictva, rozhodne s konečnou platností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e.</w:t>
      </w:r>
    </w:p>
    <w:p w14:paraId="656441AE" w14:textId="77777777" w:rsidR="00F83BCC" w:rsidRPr="00A915D9" w:rsidRDefault="00F83BCC" w:rsidP="00F83BCC">
      <w:pPr>
        <w:pStyle w:val="Nzev"/>
        <w:spacing w:after="120"/>
        <w:rPr>
          <w:rFonts w:asciiTheme="minorHAnsi" w:hAnsiTheme="minorHAnsi" w:cstheme="minorHAnsi"/>
          <w:sz w:val="24"/>
          <w:szCs w:val="24"/>
        </w:rPr>
      </w:pPr>
    </w:p>
    <w:p w14:paraId="5238A82C" w14:textId="77777777" w:rsidR="00F83BCC" w:rsidRPr="00A915D9" w:rsidRDefault="00F83BCC" w:rsidP="00F83BCC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Komise 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>e</w:t>
      </w:r>
    </w:p>
    <w:p w14:paraId="62987267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volí mandátovou a návrhovou komisi. Mandátová a návrhová komise jsou tříčlenné. O každém návrhu na člena komise hlasují delegáti s hlasem rozhodujícím veřejným hlasováním. Ke zvolení člena komise stačí nadpoloviční většina hlasů přítomných delegátů s hlasem rozhodujícím. V případě, že nadpoloviční většinu hlasů obdrží více navrhovaných členů, rozhoduje o členství v komisi vyšší počet hlasů. Na návrh pracovního předsednictva lze vytvářet podle potřeby i další komise.</w:t>
      </w:r>
    </w:p>
    <w:p w14:paraId="0D69D221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Mandátová komise ověřuje platnost mandátů, podává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i zprávu o počtu delegátů. Zjišťuje, zda je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e usnášeníschopná, zajišťuje součet hlasů při hlasování a informuje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i o počtu hlasů při hlasování.</w:t>
      </w:r>
    </w:p>
    <w:p w14:paraId="2FAF075E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Návrhová komise připravuje a předkládá návrhy na usnesení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e a dalších dokumentů schvalovaných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í a spolupracuje s pracovním předsednictvem při přípravě konečného znění předkládaných materiálů.</w:t>
      </w:r>
    </w:p>
    <w:p w14:paraId="68BA70A5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Komise se mohou usnášet, je-li přítomna nadpoloviční většina jejich členů. Usnášejí se nadpoloviční většinou hlasů. Komise zvolí člena, který návrhy přednese. </w:t>
      </w:r>
    </w:p>
    <w:p w14:paraId="53805F6E" w14:textId="77777777" w:rsidR="00F83BCC" w:rsidRPr="00A915D9" w:rsidRDefault="00F83BCC" w:rsidP="00F83BCC">
      <w:pPr>
        <w:pStyle w:val="Nzev"/>
        <w:spacing w:after="120"/>
        <w:rPr>
          <w:rFonts w:asciiTheme="minorHAnsi" w:hAnsiTheme="minorHAnsi" w:cstheme="minorHAnsi"/>
          <w:sz w:val="24"/>
          <w:szCs w:val="24"/>
        </w:rPr>
      </w:pPr>
    </w:p>
    <w:p w14:paraId="7ED9D19A" w14:textId="77777777" w:rsidR="00F83BCC" w:rsidRPr="00A915D9" w:rsidRDefault="00F83BCC" w:rsidP="00F83BCC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Usnesení </w:t>
      </w:r>
      <w:r>
        <w:rPr>
          <w:rFonts w:asciiTheme="minorHAnsi" w:hAnsiTheme="minorHAnsi" w:cstheme="minorHAnsi"/>
          <w:b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>e</w:t>
      </w:r>
    </w:p>
    <w:p w14:paraId="054B0E90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Návrhy na usnesení mohou delegáti předkládat písemně členům návrhové komise nebo ústně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i.</w:t>
      </w:r>
    </w:p>
    <w:p w14:paraId="2B7A697B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O návrzích usnesení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rozhodují delegáti s hlasem rozhodujícím veřejným hlasováním. O návrzích se rozhoduje v pořadí, v jakém byly předloženy. Pokud jsou k návrhu na usnesení předloženy protinávrhy, hlasuje se o nich v opačném pořadí, než byly předloženy. Pokud se jedná o dílčí protinávrhy, hlasuje se následně o původním návrhu se zapracovanými schválenými dílčími protinávrhy.</w:t>
      </w:r>
    </w:p>
    <w:p w14:paraId="122D4BE2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>Návrhy na změnu týkající se legislativních norem ŠSČR musí být předloženy písemně a pracovní předsednictvo má po předložení návrhu právo přerušit jednání na nezbytně nutnou dobu.</w:t>
      </w:r>
    </w:p>
    <w:p w14:paraId="6EC4D96B" w14:textId="77777777" w:rsidR="00F83BCC" w:rsidRPr="00A915D9" w:rsidRDefault="00F83BCC" w:rsidP="00F83BCC">
      <w:pPr>
        <w:spacing w:after="120"/>
        <w:ind w:left="792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10D5C02E" w14:textId="77777777" w:rsidR="00F83BCC" w:rsidRPr="00A915D9" w:rsidRDefault="00F83BCC" w:rsidP="00F83BCC">
      <w:pPr>
        <w:spacing w:after="120"/>
        <w:ind w:left="792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733A642C" w14:textId="77777777" w:rsidR="00F83BCC" w:rsidRPr="00A915D9" w:rsidRDefault="00F83BCC" w:rsidP="00F83BCC">
      <w:pPr>
        <w:pStyle w:val="Nzev"/>
        <w:spacing w:after="120"/>
        <w:rPr>
          <w:rFonts w:asciiTheme="minorHAnsi" w:hAnsiTheme="minorHAnsi" w:cstheme="minorHAnsi"/>
          <w:sz w:val="24"/>
          <w:szCs w:val="24"/>
          <w:lang w:val="cs-CZ"/>
        </w:rPr>
      </w:pPr>
    </w:p>
    <w:p w14:paraId="2221E66B" w14:textId="77777777" w:rsidR="00F83BCC" w:rsidRPr="00A915D9" w:rsidRDefault="00F83BCC" w:rsidP="00F83BCC">
      <w:pPr>
        <w:rPr>
          <w:rFonts w:asciiTheme="minorHAnsi" w:hAnsiTheme="minorHAnsi" w:cstheme="minorHAnsi"/>
          <w:sz w:val="24"/>
          <w:szCs w:val="24"/>
          <w:lang w:eastAsia="x-none"/>
        </w:rPr>
      </w:pPr>
    </w:p>
    <w:p w14:paraId="09916939" w14:textId="77777777" w:rsidR="00F83BCC" w:rsidRPr="00A915D9" w:rsidRDefault="00F83BCC" w:rsidP="00F83BCC">
      <w:pPr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b/>
          <w:snapToGrid w:val="0"/>
          <w:sz w:val="24"/>
          <w:szCs w:val="24"/>
        </w:rPr>
        <w:t>Hlasování</w:t>
      </w:r>
    </w:p>
    <w:p w14:paraId="2A7E54B9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Hlasování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jsou oprávněni zúčastnit se pouze delegáti s hlasem rozhodujícím.</w:t>
      </w:r>
    </w:p>
    <w:p w14:paraId="4B850CB5" w14:textId="77777777" w:rsidR="00F83BCC" w:rsidRPr="00A915D9" w:rsidRDefault="00F83BCC" w:rsidP="00F83BCC">
      <w:pPr>
        <w:pStyle w:val="Zkladntex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A915D9">
        <w:rPr>
          <w:rFonts w:asciiTheme="minorHAnsi" w:hAnsiTheme="minorHAnsi" w:cstheme="minorHAnsi"/>
          <w:szCs w:val="24"/>
        </w:rPr>
        <w:t>Před každým hlasováním je předsedající povinen přesně a jednoznačně formulovat návrh pro hlasování. Při hlasování o návrhu musí být vždy hlasováno nejprve o přijetí návrhu.</w:t>
      </w:r>
    </w:p>
    <w:p w14:paraId="4A454AE1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Přijetí rozhodnutí je možné jen při nadpoloviční účasti oprávněných delegátů s hlasem rozhodujícím. </w:t>
      </w:r>
    </w:p>
    <w:p w14:paraId="5F566C62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K přijetí rozhodnutí je nutný souhlas nadpoloviční většiny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přítomných 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delegátů s</w:t>
      </w:r>
      <w:r>
        <w:rPr>
          <w:rFonts w:asciiTheme="minorHAnsi" w:hAnsiTheme="minorHAnsi" w:cstheme="minorHAnsi"/>
          <w:snapToGrid w:val="0"/>
          <w:sz w:val="24"/>
          <w:szCs w:val="24"/>
        </w:rPr>
        <w:t> 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hlasem rozhodujícím. </w:t>
      </w:r>
    </w:p>
    <w:p w14:paraId="1188D2DB" w14:textId="77777777" w:rsidR="00F83BCC" w:rsidRPr="00A915D9" w:rsidRDefault="00F83BCC" w:rsidP="00F83BCC">
      <w:pPr>
        <w:numPr>
          <w:ilvl w:val="1"/>
          <w:numId w:val="1"/>
        </w:numPr>
        <w:spacing w:after="12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A915D9">
        <w:rPr>
          <w:rFonts w:asciiTheme="minorHAnsi" w:hAnsiTheme="minorHAnsi" w:cstheme="minorHAnsi"/>
          <w:snapToGrid w:val="0"/>
          <w:sz w:val="24"/>
          <w:szCs w:val="24"/>
        </w:rPr>
        <w:t xml:space="preserve">Předsedající má právo pro urychlení průběhu </w:t>
      </w:r>
      <w:r>
        <w:rPr>
          <w:rFonts w:asciiTheme="minorHAnsi" w:hAnsiTheme="minorHAnsi" w:cstheme="minorHAnsi"/>
          <w:snapToGrid w:val="0"/>
          <w:sz w:val="24"/>
          <w:szCs w:val="24"/>
        </w:rPr>
        <w:t>Konferenc</w:t>
      </w:r>
      <w:r w:rsidRPr="00A915D9">
        <w:rPr>
          <w:rFonts w:asciiTheme="minorHAnsi" w:hAnsiTheme="minorHAnsi" w:cstheme="minorHAnsi"/>
          <w:snapToGrid w:val="0"/>
          <w:sz w:val="24"/>
          <w:szCs w:val="24"/>
        </w:rPr>
        <w:t>e v případě výrazné vizuální většiny hlasujících pro přijetí návrhu označit návrh za přijatý bez dalšího hlasování.</w:t>
      </w:r>
    </w:p>
    <w:p w14:paraId="490DDA93" w14:textId="77777777" w:rsidR="00F83BCC" w:rsidRPr="00A915D9" w:rsidRDefault="00F83BCC" w:rsidP="00F83BCC">
      <w:pPr>
        <w:pStyle w:val="Nzev"/>
        <w:rPr>
          <w:rFonts w:asciiTheme="minorHAnsi" w:hAnsiTheme="minorHAnsi" w:cstheme="minorHAnsi"/>
          <w:sz w:val="24"/>
          <w:szCs w:val="24"/>
        </w:rPr>
      </w:pPr>
    </w:p>
    <w:p w14:paraId="33870A07" w14:textId="7B2F82F3" w:rsidR="00F83BCC" w:rsidRDefault="00F83BCC" w:rsidP="00F83BC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Schváleno VV ŠSČR dne </w:t>
      </w:r>
      <w:r w:rsidR="00A42BB1">
        <w:rPr>
          <w:snapToGrid w:val="0"/>
          <w:sz w:val="24"/>
        </w:rPr>
        <w:t>21</w:t>
      </w:r>
      <w:r>
        <w:rPr>
          <w:snapToGrid w:val="0"/>
          <w:sz w:val="24"/>
        </w:rPr>
        <w:t xml:space="preserve">. </w:t>
      </w:r>
      <w:r w:rsidR="00A42BB1">
        <w:rPr>
          <w:snapToGrid w:val="0"/>
          <w:sz w:val="24"/>
        </w:rPr>
        <w:t>2</w:t>
      </w:r>
      <w:r>
        <w:rPr>
          <w:snapToGrid w:val="0"/>
          <w:sz w:val="24"/>
        </w:rPr>
        <w:t>. 202</w:t>
      </w:r>
      <w:r w:rsidR="00A42BB1">
        <w:rPr>
          <w:snapToGrid w:val="0"/>
          <w:sz w:val="24"/>
        </w:rPr>
        <w:t>5</w:t>
      </w:r>
      <w:bookmarkStart w:id="0" w:name="_GoBack"/>
      <w:bookmarkEnd w:id="0"/>
    </w:p>
    <w:p w14:paraId="5E98731A" w14:textId="77777777" w:rsidR="00F83BCC" w:rsidRDefault="00F83BCC" w:rsidP="00F83BCC">
      <w:pPr>
        <w:spacing w:after="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RNDr. Martin Petr, Ph.D.</w:t>
      </w:r>
    </w:p>
    <w:p w14:paraId="19848E01" w14:textId="77777777" w:rsidR="00F83BCC" w:rsidRDefault="00F83BCC" w:rsidP="00F83BCC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předseda ŠSČR</w:t>
      </w:r>
    </w:p>
    <w:p w14:paraId="0D4882E0" w14:textId="77777777" w:rsidR="00F83BCC" w:rsidRPr="00A915D9" w:rsidRDefault="00F83BCC" w:rsidP="00F83BCC">
      <w:pPr>
        <w:rPr>
          <w:rFonts w:asciiTheme="minorHAnsi" w:hAnsiTheme="minorHAnsi" w:cstheme="minorHAnsi"/>
          <w:sz w:val="24"/>
          <w:szCs w:val="24"/>
        </w:rPr>
      </w:pPr>
    </w:p>
    <w:p w14:paraId="31D17BEE" w14:textId="77777777" w:rsidR="00F83BCC" w:rsidRPr="00A915D9" w:rsidRDefault="00F83BCC" w:rsidP="00F83BCC">
      <w:pPr>
        <w:rPr>
          <w:rFonts w:asciiTheme="minorHAnsi" w:hAnsiTheme="minorHAnsi" w:cstheme="minorHAnsi"/>
          <w:sz w:val="24"/>
          <w:szCs w:val="24"/>
        </w:rPr>
      </w:pPr>
    </w:p>
    <w:p w14:paraId="6B0E4053" w14:textId="5C5CD5CE" w:rsidR="0012681F" w:rsidRPr="00476196" w:rsidRDefault="0012681F" w:rsidP="0012681F">
      <w:r>
        <w:t xml:space="preserve">  </w:t>
      </w:r>
    </w:p>
    <w:sectPr w:rsidR="0012681F" w:rsidRPr="00476196" w:rsidSect="00412AF0">
      <w:headerReference w:type="default" r:id="rId7"/>
      <w:footerReference w:type="default" r:id="rId8"/>
      <w:pgSz w:w="11906" w:h="16838"/>
      <w:pgMar w:top="147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5DD39" w14:textId="77777777" w:rsidR="00151C3E" w:rsidRDefault="00151C3E" w:rsidP="00804510">
      <w:pPr>
        <w:spacing w:after="0" w:line="240" w:lineRule="auto"/>
      </w:pPr>
      <w:r>
        <w:separator/>
      </w:r>
    </w:p>
  </w:endnote>
  <w:endnote w:type="continuationSeparator" w:id="0">
    <w:p w14:paraId="065203CC" w14:textId="77777777" w:rsidR="00151C3E" w:rsidRDefault="00151C3E" w:rsidP="0080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B407C" w14:textId="50DF756B" w:rsidR="00B927B9" w:rsidRDefault="00B927B9" w:rsidP="00804510">
    <w:pPr>
      <w:pStyle w:val="Zpat"/>
      <w:tabs>
        <w:tab w:val="clear" w:pos="9072"/>
        <w:tab w:val="right" w:pos="10490"/>
      </w:tabs>
      <w:ind w:left="-1417" w:right="-1417"/>
    </w:pPr>
  </w:p>
  <w:p w14:paraId="2505D16E" w14:textId="75F18231" w:rsidR="00B927B9" w:rsidRDefault="009F121B" w:rsidP="00804510">
    <w:pPr>
      <w:pStyle w:val="Zpat"/>
      <w:ind w:left="-1417"/>
    </w:pPr>
    <w:r>
      <w:rPr>
        <w:noProof/>
        <w:lang w:eastAsia="cs-CZ"/>
      </w:rPr>
      <w:drawing>
        <wp:inline distT="0" distB="0" distL="0" distR="0" wp14:anchorId="4D1C96A6" wp14:editId="69D5D8F5">
          <wp:extent cx="7546824" cy="796942"/>
          <wp:effectExtent l="0" t="0" r="0" b="317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884" cy="81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DDC61" w14:textId="77777777" w:rsidR="00151C3E" w:rsidRDefault="00151C3E" w:rsidP="00804510">
      <w:pPr>
        <w:spacing w:after="0" w:line="240" w:lineRule="auto"/>
      </w:pPr>
      <w:r>
        <w:separator/>
      </w:r>
    </w:p>
  </w:footnote>
  <w:footnote w:type="continuationSeparator" w:id="0">
    <w:p w14:paraId="0C225E95" w14:textId="77777777" w:rsidR="00151C3E" w:rsidRDefault="00151C3E" w:rsidP="0080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4EEF" w14:textId="77777777" w:rsidR="00B927B9" w:rsidRDefault="00B927B9" w:rsidP="00804510">
    <w:pPr>
      <w:pStyle w:val="Zhlav"/>
      <w:tabs>
        <w:tab w:val="clear" w:pos="9072"/>
        <w:tab w:val="right" w:pos="10490"/>
      </w:tabs>
      <w:ind w:left="-1417" w:right="-1417"/>
    </w:pPr>
    <w:r>
      <w:rPr>
        <w:noProof/>
        <w:lang w:eastAsia="cs-CZ"/>
      </w:rPr>
      <w:drawing>
        <wp:inline distT="0" distB="0" distL="0" distR="0" wp14:anchorId="39706BA9" wp14:editId="28DEFFDF">
          <wp:extent cx="7562850" cy="16192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E3193E" w14:textId="77777777" w:rsidR="00B927B9" w:rsidRDefault="00B927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544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10"/>
    <w:rsid w:val="00061576"/>
    <w:rsid w:val="000C46DD"/>
    <w:rsid w:val="000F6DB5"/>
    <w:rsid w:val="0012681F"/>
    <w:rsid w:val="00151C3E"/>
    <w:rsid w:val="001B3A27"/>
    <w:rsid w:val="002257C6"/>
    <w:rsid w:val="00252431"/>
    <w:rsid w:val="002D5E19"/>
    <w:rsid w:val="0032043E"/>
    <w:rsid w:val="00364627"/>
    <w:rsid w:val="00384A59"/>
    <w:rsid w:val="00412AF0"/>
    <w:rsid w:val="00425866"/>
    <w:rsid w:val="00435BEA"/>
    <w:rsid w:val="0046682B"/>
    <w:rsid w:val="00476196"/>
    <w:rsid w:val="00544661"/>
    <w:rsid w:val="0056518C"/>
    <w:rsid w:val="005B0103"/>
    <w:rsid w:val="005B318F"/>
    <w:rsid w:val="00677439"/>
    <w:rsid w:val="006B63B5"/>
    <w:rsid w:val="006D73E3"/>
    <w:rsid w:val="00712AE1"/>
    <w:rsid w:val="00752401"/>
    <w:rsid w:val="0077356B"/>
    <w:rsid w:val="007C567F"/>
    <w:rsid w:val="00804510"/>
    <w:rsid w:val="00924279"/>
    <w:rsid w:val="009817D8"/>
    <w:rsid w:val="009F121B"/>
    <w:rsid w:val="00A42BB1"/>
    <w:rsid w:val="00A935D0"/>
    <w:rsid w:val="00B927B9"/>
    <w:rsid w:val="00BE4200"/>
    <w:rsid w:val="00DB1861"/>
    <w:rsid w:val="00EA07D5"/>
    <w:rsid w:val="00F15AB2"/>
    <w:rsid w:val="00F35C15"/>
    <w:rsid w:val="00F50096"/>
    <w:rsid w:val="00F50C51"/>
    <w:rsid w:val="00F83BCC"/>
    <w:rsid w:val="00F93993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9FCC"/>
  <w15:docId w15:val="{DF8AE75E-3AC4-42EE-8F2B-776B386E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F83BC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F83BCC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Zkladntext">
    <w:name w:val="Body Text"/>
    <w:basedOn w:val="Normln"/>
    <w:link w:val="ZkladntextChar"/>
    <w:rsid w:val="00F83BCC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3BCC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Štross</cp:lastModifiedBy>
  <cp:revision>5</cp:revision>
  <cp:lastPrinted>2023-01-11T10:35:00Z</cp:lastPrinted>
  <dcterms:created xsi:type="dcterms:W3CDTF">2024-03-09T14:45:00Z</dcterms:created>
  <dcterms:modified xsi:type="dcterms:W3CDTF">2025-02-05T10:10:00Z</dcterms:modified>
</cp:coreProperties>
</file>